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546F6673" w:rsidR="00F30083" w:rsidRPr="00C30804" w:rsidRDefault="0024701F" w:rsidP="00F30083">
      <w:pPr>
        <w:tabs>
          <w:tab w:val="left" w:pos="540"/>
        </w:tabs>
        <w:rPr>
          <w:color w:val="CC9900"/>
          <w:sz w:val="4"/>
          <w:szCs w:val="4"/>
        </w:rPr>
      </w:pPr>
      <w:r w:rsidRPr="00755EE1">
        <w:rPr>
          <w:noProof/>
        </w:rPr>
        <w:drawing>
          <wp:anchor distT="0" distB="0" distL="114300" distR="114300" simplePos="0" relativeHeight="251742720" behindDoc="0" locked="0" layoutInCell="1" allowOverlap="1" wp14:anchorId="50BA1CCC" wp14:editId="0EEFA1D8">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59C61" w14:textId="25AD3DEA" w:rsidR="00962C0D" w:rsidRPr="0024701F" w:rsidRDefault="00F30083" w:rsidP="0024701F">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00962C0D" w:rsidRPr="00962C0D">
        <w:rPr>
          <w:rFonts w:cs="Times New Roman"/>
          <w:b/>
          <w:color w:val="1F3864" w:themeColor="accent5" w:themeShade="80"/>
          <w:sz w:val="48"/>
          <w:szCs w:val="44"/>
        </w:rPr>
        <w:br/>
      </w:r>
      <w:r w:rsidR="0024701F">
        <w:rPr>
          <w:rFonts w:cs="Times New Roman"/>
          <w:b/>
          <w:color w:val="1F3864" w:themeColor="accent5" w:themeShade="80"/>
          <w:sz w:val="36"/>
          <w:szCs w:val="32"/>
        </w:rPr>
        <w:t>Third</w:t>
      </w:r>
      <w:r w:rsidR="00C7799F" w:rsidRPr="00962C0D">
        <w:rPr>
          <w:rFonts w:cs="Times New Roman"/>
          <w:b/>
          <w:color w:val="1F3864" w:themeColor="accent5" w:themeShade="80"/>
          <w:sz w:val="36"/>
          <w:szCs w:val="32"/>
        </w:rPr>
        <w:t xml:space="preserve"> </w:t>
      </w:r>
      <w:r w:rsidR="006C7FF0" w:rsidRPr="00962C0D">
        <w:rPr>
          <w:rFonts w:cs="Times New Roman"/>
          <w:b/>
          <w:color w:val="1F3864" w:themeColor="accent5" w:themeShade="80"/>
          <w:sz w:val="36"/>
          <w:szCs w:val="32"/>
        </w:rPr>
        <w:t>Quarter 201</w:t>
      </w:r>
      <w:r w:rsidR="00DC3EB5">
        <w:rPr>
          <w:rFonts w:cs="Times New Roman"/>
          <w:b/>
          <w:color w:val="1F3864" w:themeColor="accent5" w:themeShade="80"/>
          <w:sz w:val="36"/>
          <w:szCs w:val="32"/>
        </w:rPr>
        <w:t>9</w:t>
      </w:r>
      <w:r w:rsidR="0024701F">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63FAB03E"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12B10ADE" w:rsidR="00AB2DA3" w:rsidRPr="00962C0D" w:rsidRDefault="0024701F"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40672" behindDoc="0" locked="0" layoutInCell="1" allowOverlap="1" wp14:anchorId="58DC3626" wp14:editId="308C0D34">
            <wp:simplePos x="0" y="0"/>
            <wp:positionH relativeFrom="column">
              <wp:posOffset>3672780</wp:posOffset>
            </wp:positionH>
            <wp:positionV relativeFrom="paragraph">
              <wp:posOffset>159960</wp:posOffset>
            </wp:positionV>
            <wp:extent cx="3168650" cy="4440555"/>
            <wp:effectExtent l="19050" t="19050" r="12700" b="171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44055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73C4CB29" w14:textId="0CB57C5E" w:rsidR="00F75467" w:rsidRPr="00D30540" w:rsidRDefault="002D3426" w:rsidP="0092051A">
      <w:pPr>
        <w:pStyle w:val="p"/>
        <w:spacing w:before="0" w:beforeAutospacing="0" w:after="225" w:afterAutospacing="0"/>
        <w:jc w:val="both"/>
        <w:rPr>
          <w:b/>
          <w:i/>
          <w:sz w:val="22"/>
          <w:szCs w:val="25"/>
        </w:rPr>
      </w:pPr>
      <w:r w:rsidRPr="00D30540">
        <w:rPr>
          <w:sz w:val="22"/>
          <w:szCs w:val="25"/>
        </w:rPr>
        <w:t>After some concerns and declines</w:t>
      </w:r>
      <w:r w:rsidR="00555748">
        <w:rPr>
          <w:sz w:val="22"/>
          <w:szCs w:val="25"/>
        </w:rPr>
        <w:t xml:space="preserve"> during the summer</w:t>
      </w:r>
      <w:r w:rsidRPr="00D30540">
        <w:rPr>
          <w:sz w:val="22"/>
          <w:szCs w:val="25"/>
        </w:rPr>
        <w:t xml:space="preserve">, </w:t>
      </w:r>
      <w:r w:rsidR="00273BEE" w:rsidRPr="00D30540">
        <w:rPr>
          <w:sz w:val="22"/>
          <w:szCs w:val="25"/>
        </w:rPr>
        <w:t xml:space="preserve">major equity markets </w:t>
      </w:r>
      <w:r w:rsidRPr="00D30540">
        <w:rPr>
          <w:sz w:val="22"/>
          <w:szCs w:val="25"/>
        </w:rPr>
        <w:t xml:space="preserve">showed advances in the month of September and finished positive for the third quarter of 2019. </w:t>
      </w:r>
      <w:r w:rsidR="00273BEE" w:rsidRPr="00D30540">
        <w:rPr>
          <w:sz w:val="22"/>
          <w:szCs w:val="25"/>
        </w:rPr>
        <w:t xml:space="preserve">  The S&amp;P 500 ended the month about 1.7% higher, and up by 1.2%</w:t>
      </w:r>
      <w:r w:rsidR="00555748">
        <w:rPr>
          <w:sz w:val="22"/>
          <w:szCs w:val="25"/>
        </w:rPr>
        <w:t xml:space="preserve"> for the quarter</w:t>
      </w:r>
      <w:r w:rsidR="00273BEE" w:rsidRPr="00D30540">
        <w:rPr>
          <w:sz w:val="22"/>
          <w:szCs w:val="25"/>
        </w:rPr>
        <w:t>. The Dow ended 1.9% and 1.2% higher for the month and quarter, respectively.</w:t>
      </w:r>
      <w:r w:rsidR="00273BEE" w:rsidRPr="00D30540">
        <w:rPr>
          <w:b/>
          <w:i/>
          <w:sz w:val="22"/>
          <w:szCs w:val="25"/>
        </w:rPr>
        <w:t xml:space="preserve">  </w:t>
      </w:r>
      <w:r w:rsidR="00A17FCB" w:rsidRPr="00D30540">
        <w:rPr>
          <w:b/>
          <w:i/>
          <w:sz w:val="16"/>
          <w:szCs w:val="22"/>
        </w:rPr>
        <w:t xml:space="preserve">(Source: </w:t>
      </w:r>
      <w:r w:rsidR="00273BEE" w:rsidRPr="00D30540">
        <w:rPr>
          <w:b/>
          <w:i/>
          <w:sz w:val="16"/>
          <w:szCs w:val="22"/>
        </w:rPr>
        <w:t>Yahoo Finance</w:t>
      </w:r>
      <w:r w:rsidR="00A17FCB" w:rsidRPr="00D30540">
        <w:rPr>
          <w:b/>
          <w:i/>
          <w:sz w:val="16"/>
          <w:szCs w:val="22"/>
        </w:rPr>
        <w:t xml:space="preserve"> </w:t>
      </w:r>
      <w:r w:rsidR="00273BEE" w:rsidRPr="00D30540">
        <w:rPr>
          <w:b/>
          <w:i/>
          <w:sz w:val="16"/>
          <w:szCs w:val="22"/>
        </w:rPr>
        <w:t>9</w:t>
      </w:r>
      <w:r w:rsidR="00DC3EB5" w:rsidRPr="00D30540">
        <w:rPr>
          <w:b/>
          <w:i/>
          <w:sz w:val="16"/>
          <w:szCs w:val="22"/>
        </w:rPr>
        <w:t>/</w:t>
      </w:r>
      <w:r w:rsidR="00273BEE" w:rsidRPr="00D30540">
        <w:rPr>
          <w:b/>
          <w:i/>
          <w:sz w:val="16"/>
          <w:szCs w:val="22"/>
        </w:rPr>
        <w:t>30</w:t>
      </w:r>
      <w:r w:rsidR="00A17FCB" w:rsidRPr="00D30540">
        <w:rPr>
          <w:b/>
          <w:i/>
          <w:sz w:val="16"/>
          <w:szCs w:val="22"/>
        </w:rPr>
        <w:t>/201</w:t>
      </w:r>
      <w:r w:rsidR="003041C6" w:rsidRPr="00D30540">
        <w:rPr>
          <w:b/>
          <w:i/>
          <w:sz w:val="16"/>
          <w:szCs w:val="22"/>
        </w:rPr>
        <w:t>9</w:t>
      </w:r>
      <w:r w:rsidR="00A17FCB" w:rsidRPr="00D30540">
        <w:rPr>
          <w:b/>
          <w:i/>
          <w:sz w:val="16"/>
          <w:szCs w:val="22"/>
        </w:rPr>
        <w:t>)</w:t>
      </w:r>
    </w:p>
    <w:p w14:paraId="63F28A7B" w14:textId="48447926" w:rsidR="003041C6" w:rsidRPr="00D30540" w:rsidRDefault="00273BEE" w:rsidP="00C33B54">
      <w:pPr>
        <w:pStyle w:val="p"/>
        <w:spacing w:before="0" w:beforeAutospacing="0" w:after="225" w:afterAutospacing="0"/>
        <w:jc w:val="both"/>
        <w:rPr>
          <w:sz w:val="20"/>
          <w:szCs w:val="22"/>
        </w:rPr>
      </w:pPr>
      <w:r w:rsidRPr="00D30540">
        <w:rPr>
          <w:sz w:val="22"/>
          <w:szCs w:val="25"/>
        </w:rPr>
        <w:t>Some prominent investment themes from earlier in the year continued to surface in the third quarter producing volatile trading, but at the quarter’s end</w:t>
      </w:r>
      <w:r w:rsidR="00555748">
        <w:rPr>
          <w:sz w:val="22"/>
          <w:szCs w:val="25"/>
        </w:rPr>
        <w:t xml:space="preserve"> had </w:t>
      </w:r>
      <w:r w:rsidRPr="00D30540">
        <w:rPr>
          <w:sz w:val="22"/>
          <w:szCs w:val="25"/>
        </w:rPr>
        <w:t xml:space="preserve">no real impact. The U.S.-China trade conflict continued to capture investors’ attentions and </w:t>
      </w:r>
      <w:r w:rsidR="00813DF9" w:rsidRPr="00D30540">
        <w:rPr>
          <w:sz w:val="22"/>
          <w:szCs w:val="25"/>
        </w:rPr>
        <w:t xml:space="preserve">fluctuated equity </w:t>
      </w:r>
      <w:r w:rsidRPr="00D30540">
        <w:rPr>
          <w:sz w:val="22"/>
          <w:szCs w:val="25"/>
        </w:rPr>
        <w:t>markets</w:t>
      </w:r>
      <w:r w:rsidR="00813DF9" w:rsidRPr="00D30540">
        <w:rPr>
          <w:sz w:val="22"/>
          <w:szCs w:val="25"/>
        </w:rPr>
        <w:t>.</w:t>
      </w:r>
      <w:r w:rsidRPr="00D30540">
        <w:rPr>
          <w:sz w:val="22"/>
          <w:szCs w:val="25"/>
        </w:rPr>
        <w:t xml:space="preserve"> </w:t>
      </w:r>
      <w:r w:rsidR="00542BCA" w:rsidRPr="00D30540">
        <w:rPr>
          <w:sz w:val="22"/>
          <w:szCs w:val="25"/>
        </w:rPr>
        <w:t>T</w:t>
      </w:r>
      <w:r w:rsidR="00813DF9" w:rsidRPr="00D30540">
        <w:rPr>
          <w:sz w:val="22"/>
          <w:szCs w:val="25"/>
        </w:rPr>
        <w:t>he quarter</w:t>
      </w:r>
      <w:r w:rsidR="00542BCA" w:rsidRPr="00D30540">
        <w:rPr>
          <w:sz w:val="22"/>
          <w:szCs w:val="25"/>
        </w:rPr>
        <w:t xml:space="preserve"> also</w:t>
      </w:r>
      <w:r w:rsidR="00813DF9" w:rsidRPr="00D30540">
        <w:rPr>
          <w:sz w:val="22"/>
          <w:szCs w:val="25"/>
        </w:rPr>
        <w:t xml:space="preserve"> included</w:t>
      </w:r>
      <w:r w:rsidRPr="00D30540">
        <w:rPr>
          <w:sz w:val="22"/>
          <w:szCs w:val="25"/>
        </w:rPr>
        <w:t xml:space="preserve"> the Federal Reserve</w:t>
      </w:r>
      <w:r w:rsidR="00813DF9" w:rsidRPr="00D30540">
        <w:rPr>
          <w:sz w:val="22"/>
          <w:szCs w:val="25"/>
        </w:rPr>
        <w:t>’s lowering of</w:t>
      </w:r>
      <w:r w:rsidRPr="00D30540">
        <w:rPr>
          <w:sz w:val="22"/>
          <w:szCs w:val="25"/>
        </w:rPr>
        <w:t xml:space="preserve"> rates </w:t>
      </w:r>
      <w:r w:rsidR="00555748">
        <w:rPr>
          <w:sz w:val="22"/>
          <w:szCs w:val="25"/>
        </w:rPr>
        <w:t xml:space="preserve">in September </w:t>
      </w:r>
      <w:r w:rsidRPr="00D30540">
        <w:rPr>
          <w:sz w:val="22"/>
          <w:szCs w:val="25"/>
        </w:rPr>
        <w:t xml:space="preserve">for the second time this year. </w:t>
      </w:r>
      <w:r w:rsidR="00555748">
        <w:rPr>
          <w:sz w:val="22"/>
          <w:szCs w:val="25"/>
        </w:rPr>
        <w:t>The combination of these</w:t>
      </w:r>
      <w:r w:rsidR="00813DF9" w:rsidRPr="00D30540">
        <w:rPr>
          <w:sz w:val="22"/>
          <w:szCs w:val="25"/>
        </w:rPr>
        <w:t xml:space="preserve"> events </w:t>
      </w:r>
      <w:r w:rsidRPr="00D30540">
        <w:rPr>
          <w:sz w:val="22"/>
          <w:szCs w:val="25"/>
        </w:rPr>
        <w:t>with slowing global economic growth</w:t>
      </w:r>
      <w:r w:rsidR="00555748">
        <w:rPr>
          <w:sz w:val="22"/>
          <w:szCs w:val="25"/>
        </w:rPr>
        <w:t xml:space="preserve"> and</w:t>
      </w:r>
      <w:r w:rsidR="00813DF9" w:rsidRPr="00D30540">
        <w:rPr>
          <w:sz w:val="22"/>
          <w:szCs w:val="25"/>
        </w:rPr>
        <w:t xml:space="preserve"> interest rates</w:t>
      </w:r>
      <w:r w:rsidRPr="00D30540">
        <w:rPr>
          <w:sz w:val="22"/>
          <w:szCs w:val="25"/>
        </w:rPr>
        <w:t xml:space="preserve"> produced an inverted yield curve, which </w:t>
      </w:r>
      <w:r w:rsidR="00813DF9" w:rsidRPr="00D30540">
        <w:rPr>
          <w:sz w:val="22"/>
          <w:szCs w:val="25"/>
        </w:rPr>
        <w:t xml:space="preserve">is a sign for some of </w:t>
      </w:r>
      <w:r w:rsidRPr="00D30540">
        <w:rPr>
          <w:sz w:val="22"/>
          <w:szCs w:val="25"/>
        </w:rPr>
        <w:t>economic downturns. </w:t>
      </w:r>
      <w:r w:rsidR="00813DF9" w:rsidRPr="00D30540">
        <w:rPr>
          <w:sz w:val="22"/>
          <w:szCs w:val="25"/>
        </w:rPr>
        <w:t>Despite all of this, equity markets still rewarded patient investors.</w:t>
      </w:r>
      <w:r w:rsidR="003041C6" w:rsidRPr="00D30540">
        <w:rPr>
          <w:b/>
          <w:i/>
          <w:sz w:val="16"/>
          <w:szCs w:val="22"/>
        </w:rPr>
        <w:t xml:space="preserve"> (Source: </w:t>
      </w:r>
      <w:r w:rsidR="00813DF9" w:rsidRPr="00D30540">
        <w:rPr>
          <w:b/>
          <w:i/>
          <w:sz w:val="16"/>
          <w:szCs w:val="22"/>
        </w:rPr>
        <w:t xml:space="preserve">Morningstar.com </w:t>
      </w:r>
      <w:r w:rsidR="003041C6" w:rsidRPr="00D30540">
        <w:rPr>
          <w:b/>
          <w:i/>
          <w:sz w:val="16"/>
          <w:szCs w:val="22"/>
        </w:rPr>
        <w:t xml:space="preserve"> </w:t>
      </w:r>
      <w:r w:rsidR="00813DF9" w:rsidRPr="00D30540">
        <w:rPr>
          <w:b/>
          <w:i/>
          <w:sz w:val="16"/>
          <w:szCs w:val="22"/>
        </w:rPr>
        <w:t>9</w:t>
      </w:r>
      <w:r w:rsidR="003041C6" w:rsidRPr="00D30540">
        <w:rPr>
          <w:b/>
          <w:i/>
          <w:sz w:val="16"/>
          <w:szCs w:val="22"/>
        </w:rPr>
        <w:t>/</w:t>
      </w:r>
      <w:r w:rsidR="00813DF9" w:rsidRPr="00D30540">
        <w:rPr>
          <w:b/>
          <w:i/>
          <w:sz w:val="16"/>
          <w:szCs w:val="22"/>
        </w:rPr>
        <w:t>30</w:t>
      </w:r>
      <w:r w:rsidR="003041C6" w:rsidRPr="00D30540">
        <w:rPr>
          <w:b/>
          <w:i/>
          <w:sz w:val="16"/>
          <w:szCs w:val="22"/>
        </w:rPr>
        <w:t>/2019)</w:t>
      </w:r>
    </w:p>
    <w:p w14:paraId="5C48D884" w14:textId="0641ECBB" w:rsidR="00813DF9" w:rsidRPr="00C31DA1" w:rsidRDefault="00C31DA1" w:rsidP="00C33B54">
      <w:pPr>
        <w:pStyle w:val="p"/>
        <w:spacing w:before="0" w:beforeAutospacing="0" w:after="0" w:afterAutospacing="0"/>
        <w:jc w:val="both"/>
        <w:rPr>
          <w:b/>
          <w:i/>
          <w:sz w:val="16"/>
          <w:szCs w:val="22"/>
        </w:rPr>
      </w:pPr>
      <w:r w:rsidRPr="00C31DA1">
        <w:rPr>
          <w:noProof/>
          <w:sz w:val="22"/>
          <w:szCs w:val="22"/>
        </w:rPr>
        <w:drawing>
          <wp:anchor distT="182880" distB="182880" distL="114300" distR="114300" simplePos="0" relativeHeight="251745792" behindDoc="0" locked="0" layoutInCell="1" allowOverlap="1" wp14:anchorId="473D1DD7" wp14:editId="73955D21">
            <wp:simplePos x="0" y="0"/>
            <wp:positionH relativeFrom="column">
              <wp:posOffset>3733165</wp:posOffset>
            </wp:positionH>
            <wp:positionV relativeFrom="paragraph">
              <wp:posOffset>1557020</wp:posOffset>
            </wp:positionV>
            <wp:extent cx="3228975" cy="16725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sidRPr="00C31DA1">
        <w:rPr>
          <w:sz w:val="22"/>
          <w:szCs w:val="25"/>
        </w:rPr>
        <w:t xml:space="preserve">In a quarter ending news release, the NASDAQ stated that, “As investors prepare for U.S. corporations to report financial results next month, they could look past recent sluggish growth and find comfort as earnings look set to rebound after the third quarter.”  </w:t>
      </w:r>
      <w:r w:rsidR="00542BCA" w:rsidRPr="00C31DA1">
        <w:rPr>
          <w:sz w:val="22"/>
          <w:szCs w:val="25"/>
        </w:rPr>
        <w:t>S</w:t>
      </w:r>
      <w:r w:rsidR="00813DF9" w:rsidRPr="00C31DA1">
        <w:rPr>
          <w:sz w:val="22"/>
          <w:szCs w:val="25"/>
        </w:rPr>
        <w:t>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w:t>
      </w:r>
      <w:r w:rsidR="005C7C0C" w:rsidRPr="00C31DA1">
        <w:rPr>
          <w:sz w:val="22"/>
          <w:szCs w:val="25"/>
        </w:rPr>
        <w:t xml:space="preserve">  Recent economic data has been mixed, with reports on U.S. labor and housing upbeat, but others disappointing.</w:t>
      </w:r>
      <w:r w:rsidR="005C7C0C" w:rsidRPr="00C31DA1">
        <w:rPr>
          <w:b/>
          <w:i/>
          <w:sz w:val="16"/>
          <w:szCs w:val="22"/>
        </w:rPr>
        <w:t xml:space="preserve"> (Source: NASDAQ.com  9/30/2019)</w:t>
      </w:r>
    </w:p>
    <w:p w14:paraId="7ED0D367" w14:textId="6FD13787" w:rsidR="00832659" w:rsidRPr="00C31DA1" w:rsidRDefault="00832659" w:rsidP="00C33B54">
      <w:pPr>
        <w:pStyle w:val="NormalWeb"/>
        <w:shd w:val="clear" w:color="auto" w:fill="FFFFFF"/>
        <w:spacing w:before="0" w:beforeAutospacing="0" w:after="0" w:afterAutospacing="0"/>
        <w:ind w:right="150"/>
        <w:jc w:val="both"/>
        <w:rPr>
          <w:sz w:val="22"/>
          <w:szCs w:val="25"/>
        </w:rPr>
      </w:pPr>
    </w:p>
    <w:p w14:paraId="1D64ADB5" w14:textId="7E4ED071" w:rsidR="000B77C1" w:rsidRPr="00C31DA1" w:rsidRDefault="00500461" w:rsidP="006A751F">
      <w:pPr>
        <w:pStyle w:val="NormalWeb"/>
        <w:shd w:val="clear" w:color="auto" w:fill="FFFFFF"/>
        <w:tabs>
          <w:tab w:val="left" w:pos="5220"/>
        </w:tabs>
        <w:spacing w:before="0" w:beforeAutospacing="0" w:after="0" w:afterAutospacing="0"/>
        <w:jc w:val="both"/>
        <w:rPr>
          <w:sz w:val="22"/>
          <w:szCs w:val="25"/>
        </w:rPr>
      </w:pPr>
      <w:r w:rsidRPr="00C31DA1">
        <w:rPr>
          <w:sz w:val="22"/>
          <w:szCs w:val="22"/>
        </w:rPr>
        <w:t xml:space="preserve">Investors are </w:t>
      </w:r>
      <w:r w:rsidR="00542BCA" w:rsidRPr="00C31DA1">
        <w:rPr>
          <w:sz w:val="22"/>
          <w:szCs w:val="22"/>
        </w:rPr>
        <w:t>still</w:t>
      </w:r>
      <w:r w:rsidRPr="00C31DA1">
        <w:rPr>
          <w:sz w:val="22"/>
          <w:szCs w:val="22"/>
        </w:rPr>
        <w:t xml:space="preserve"> enjoying the longest</w:t>
      </w:r>
      <w:r w:rsidR="008A6070" w:rsidRPr="00C31DA1">
        <w:rPr>
          <w:sz w:val="22"/>
          <w:szCs w:val="22"/>
        </w:rPr>
        <w:t xml:space="preserve"> bull market</w:t>
      </w:r>
      <w:r w:rsidRPr="00C31DA1">
        <w:rPr>
          <w:sz w:val="22"/>
          <w:szCs w:val="22"/>
        </w:rPr>
        <w:t xml:space="preserve"> ever, but two camps of thought </w:t>
      </w:r>
      <w:r w:rsidR="00542BCA" w:rsidRPr="00C31DA1">
        <w:rPr>
          <w:sz w:val="22"/>
          <w:szCs w:val="22"/>
        </w:rPr>
        <w:t>still continue to exist.</w:t>
      </w:r>
      <w:r w:rsidRPr="00C31DA1">
        <w:rPr>
          <w:sz w:val="22"/>
          <w:szCs w:val="22"/>
        </w:rPr>
        <w:t xml:space="preserve">  One </w:t>
      </w:r>
      <w:r w:rsidR="00B949F5" w:rsidRPr="00C31DA1">
        <w:rPr>
          <w:sz w:val="22"/>
          <w:szCs w:val="22"/>
        </w:rPr>
        <w:t>camp</w:t>
      </w:r>
      <w:r w:rsidRPr="00C31DA1">
        <w:rPr>
          <w:sz w:val="22"/>
          <w:szCs w:val="22"/>
        </w:rPr>
        <w:t xml:space="preserve"> points to the fact that based on historical numbers, like price earnings, that equities are highly overvalued and overpriced.  The other camp insists that we are</w:t>
      </w:r>
      <w:r w:rsidR="00542BCA" w:rsidRPr="00C31DA1">
        <w:rPr>
          <w:sz w:val="22"/>
          <w:szCs w:val="22"/>
        </w:rPr>
        <w:t xml:space="preserve"> still</w:t>
      </w:r>
      <w:r w:rsidRPr="00C31DA1">
        <w:rPr>
          <w:sz w:val="22"/>
          <w:szCs w:val="22"/>
        </w:rPr>
        <w:t xml:space="preserve"> in a </w:t>
      </w:r>
      <w:r w:rsidR="003E2277" w:rsidRPr="00C31DA1">
        <w:rPr>
          <w:sz w:val="22"/>
          <w:szCs w:val="22"/>
        </w:rPr>
        <w:t>“</w:t>
      </w:r>
      <w:r w:rsidRPr="00C31DA1">
        <w:rPr>
          <w:b/>
          <w:sz w:val="22"/>
          <w:szCs w:val="22"/>
        </w:rPr>
        <w:t>TINA</w:t>
      </w:r>
      <w:r w:rsidR="003E2277" w:rsidRPr="00C31DA1">
        <w:rPr>
          <w:sz w:val="22"/>
          <w:szCs w:val="22"/>
        </w:rPr>
        <w:t xml:space="preserve">” </w:t>
      </w:r>
      <w:r w:rsidRPr="00C31DA1">
        <w:rPr>
          <w:sz w:val="22"/>
          <w:szCs w:val="22"/>
        </w:rPr>
        <w:t xml:space="preserve">market, meaning, </w:t>
      </w:r>
      <w:r w:rsidRPr="00C31DA1">
        <w:rPr>
          <w:b/>
          <w:sz w:val="22"/>
          <w:szCs w:val="22"/>
        </w:rPr>
        <w:t>T</w:t>
      </w:r>
      <w:r w:rsidRPr="00C31DA1">
        <w:rPr>
          <w:sz w:val="22"/>
          <w:szCs w:val="22"/>
        </w:rPr>
        <w:t xml:space="preserve">here </w:t>
      </w:r>
      <w:r w:rsidRPr="00C31DA1">
        <w:rPr>
          <w:b/>
          <w:sz w:val="22"/>
          <w:szCs w:val="22"/>
        </w:rPr>
        <w:t>I</w:t>
      </w:r>
      <w:r w:rsidRPr="00C31DA1">
        <w:rPr>
          <w:sz w:val="22"/>
          <w:szCs w:val="22"/>
        </w:rPr>
        <w:t xml:space="preserve">s </w:t>
      </w:r>
      <w:r w:rsidRPr="00C31DA1">
        <w:rPr>
          <w:b/>
          <w:sz w:val="22"/>
          <w:szCs w:val="22"/>
        </w:rPr>
        <w:t>N</w:t>
      </w:r>
      <w:r w:rsidRPr="00C31DA1">
        <w:rPr>
          <w:sz w:val="22"/>
          <w:szCs w:val="22"/>
        </w:rPr>
        <w:t xml:space="preserve">o </w:t>
      </w:r>
      <w:r w:rsidRPr="00C31DA1">
        <w:rPr>
          <w:b/>
          <w:sz w:val="22"/>
          <w:szCs w:val="22"/>
        </w:rPr>
        <w:t>A</w:t>
      </w:r>
      <w:r w:rsidRPr="00C31DA1">
        <w:rPr>
          <w:sz w:val="22"/>
          <w:szCs w:val="22"/>
        </w:rPr>
        <w:t>lternative to stocks.  This group feels that until rates rise significantly, this will remain true and that means there could be significant upside in the current market.</w:t>
      </w:r>
      <w:r w:rsidR="008A6070" w:rsidRPr="00C31DA1">
        <w:rPr>
          <w:sz w:val="22"/>
          <w:szCs w:val="22"/>
        </w:rPr>
        <w:t xml:space="preserve"> </w:t>
      </w:r>
      <w:r w:rsidR="00542BCA" w:rsidRPr="00C31DA1">
        <w:rPr>
          <w:sz w:val="22"/>
          <w:szCs w:val="22"/>
        </w:rPr>
        <w:t>E</w:t>
      </w:r>
      <w:r w:rsidRPr="00C31DA1">
        <w:rPr>
          <w:sz w:val="22"/>
          <w:szCs w:val="22"/>
        </w:rPr>
        <w:t>quities</w:t>
      </w:r>
      <w:r w:rsidR="004701FB" w:rsidRPr="00C31DA1">
        <w:rPr>
          <w:sz w:val="22"/>
          <w:szCs w:val="22"/>
        </w:rPr>
        <w:t xml:space="preserve"> are not</w:t>
      </w:r>
      <w:r w:rsidR="004701FB" w:rsidRPr="00C31DA1">
        <w:rPr>
          <w:sz w:val="22"/>
          <w:szCs w:val="25"/>
        </w:rPr>
        <w:t xml:space="preserve"> cheap and</w:t>
      </w:r>
      <w:r w:rsidR="00DC52F2" w:rsidRPr="00C31DA1">
        <w:rPr>
          <w:sz w:val="22"/>
          <w:szCs w:val="25"/>
        </w:rPr>
        <w:t xml:space="preserve"> </w:t>
      </w:r>
      <w:r w:rsidR="008A6070" w:rsidRPr="00C31DA1">
        <w:rPr>
          <w:sz w:val="22"/>
          <w:szCs w:val="25"/>
        </w:rPr>
        <w:t xml:space="preserve">even the savviest of investors </w:t>
      </w:r>
      <w:r w:rsidR="00A01661" w:rsidRPr="00C31DA1">
        <w:rPr>
          <w:sz w:val="22"/>
          <w:szCs w:val="25"/>
        </w:rPr>
        <w:t>need to</w:t>
      </w:r>
      <w:r w:rsidR="008A6070" w:rsidRPr="00C31DA1">
        <w:rPr>
          <w:sz w:val="22"/>
          <w:szCs w:val="25"/>
        </w:rPr>
        <w:t xml:space="preserve"> have a watchful eye on risk.  As </w:t>
      </w:r>
      <w:r w:rsidR="0024701F" w:rsidRPr="00C31DA1">
        <w:rPr>
          <w:sz w:val="22"/>
          <w:szCs w:val="25"/>
        </w:rPr>
        <w:t>f</w:t>
      </w:r>
      <w:r w:rsidR="008A6070" w:rsidRPr="00C31DA1">
        <w:rPr>
          <w:sz w:val="22"/>
          <w:szCs w:val="25"/>
        </w:rPr>
        <w:t xml:space="preserve">inancial </w:t>
      </w:r>
      <w:r w:rsidR="0024701F" w:rsidRPr="00C31DA1">
        <w:rPr>
          <w:sz w:val="22"/>
          <w:szCs w:val="25"/>
        </w:rPr>
        <w:t>p</w:t>
      </w:r>
      <w:r w:rsidR="008A6070" w:rsidRPr="00C31DA1">
        <w:rPr>
          <w:sz w:val="22"/>
          <w:szCs w:val="25"/>
        </w:rPr>
        <w:t xml:space="preserve">rofessionals, we </w:t>
      </w:r>
      <w:r w:rsidR="00542BCA" w:rsidRPr="00C31DA1">
        <w:rPr>
          <w:sz w:val="22"/>
          <w:szCs w:val="25"/>
        </w:rPr>
        <w:t xml:space="preserve">assist clients by providing ideas and suggestions based on </w:t>
      </w:r>
    </w:p>
    <w:p w14:paraId="071CED02" w14:textId="43AAB080" w:rsidR="006A751F" w:rsidRDefault="00542BCA" w:rsidP="006A751F">
      <w:pPr>
        <w:pStyle w:val="NormalWeb"/>
        <w:shd w:val="clear" w:color="auto" w:fill="FFFFFF"/>
        <w:tabs>
          <w:tab w:val="left" w:pos="5220"/>
        </w:tabs>
        <w:spacing w:before="0" w:beforeAutospacing="0" w:after="0" w:afterAutospacing="0"/>
        <w:jc w:val="both"/>
        <w:rPr>
          <w:sz w:val="22"/>
          <w:szCs w:val="25"/>
        </w:rPr>
      </w:pPr>
      <w:r w:rsidRPr="00D30540">
        <w:rPr>
          <w:sz w:val="22"/>
          <w:szCs w:val="25"/>
        </w:rPr>
        <w:t xml:space="preserve">their personal circumstances. </w:t>
      </w:r>
      <w:r w:rsidR="00A01661" w:rsidRPr="00D30540">
        <w:rPr>
          <w:sz w:val="22"/>
          <w:szCs w:val="25"/>
        </w:rPr>
        <w:t>Short</w:t>
      </w:r>
      <w:r w:rsidR="00D025F1" w:rsidRPr="00D30540">
        <w:rPr>
          <w:sz w:val="22"/>
          <w:szCs w:val="25"/>
        </w:rPr>
        <w:t>-</w:t>
      </w:r>
      <w:r w:rsidR="00A01661" w:rsidRPr="00D30540">
        <w:rPr>
          <w:sz w:val="22"/>
          <w:szCs w:val="25"/>
        </w:rPr>
        <w:t xml:space="preserve">term interest rates </w:t>
      </w:r>
      <w:r w:rsidR="00B949F5" w:rsidRPr="00D30540">
        <w:rPr>
          <w:sz w:val="22"/>
          <w:szCs w:val="25"/>
        </w:rPr>
        <w:t>and</w:t>
      </w:r>
      <w:r w:rsidR="00A01661" w:rsidRPr="00D30540">
        <w:rPr>
          <w:sz w:val="22"/>
          <w:szCs w:val="25"/>
        </w:rPr>
        <w:t xml:space="preserve"> cash equivalent yields are still historically low</w:t>
      </w:r>
      <w:r w:rsidR="004701FB" w:rsidRPr="00D30540">
        <w:rPr>
          <w:sz w:val="22"/>
          <w:szCs w:val="25"/>
        </w:rPr>
        <w:t>.</w:t>
      </w:r>
      <w:r w:rsidR="00A01661" w:rsidRPr="00D30540">
        <w:rPr>
          <w:sz w:val="22"/>
          <w:szCs w:val="25"/>
        </w:rPr>
        <w:t xml:space="preserve"> </w:t>
      </w:r>
      <w:r w:rsidR="00B949F5" w:rsidRPr="00D30540">
        <w:rPr>
          <w:sz w:val="22"/>
          <w:szCs w:val="25"/>
        </w:rPr>
        <w:t xml:space="preserve">Our goal is to focus on </w:t>
      </w:r>
      <w:r w:rsidR="00832659" w:rsidRPr="00D30540">
        <w:rPr>
          <w:sz w:val="22"/>
          <w:szCs w:val="25"/>
        </w:rPr>
        <w:t xml:space="preserve">each </w:t>
      </w:r>
      <w:r w:rsidR="00B949F5" w:rsidRPr="00D30540">
        <w:rPr>
          <w:sz w:val="22"/>
          <w:szCs w:val="25"/>
        </w:rPr>
        <w:t xml:space="preserve">client’s timeframes and </w:t>
      </w:r>
      <w:r w:rsidRPr="00D30540">
        <w:rPr>
          <w:sz w:val="22"/>
          <w:szCs w:val="25"/>
        </w:rPr>
        <w:t>goals.</w:t>
      </w:r>
      <w:r w:rsidR="00B949F5" w:rsidRPr="00D30540">
        <w:rPr>
          <w:sz w:val="22"/>
          <w:szCs w:val="25"/>
        </w:rPr>
        <w:t xml:space="preserve"> </w:t>
      </w:r>
    </w:p>
    <w:p w14:paraId="7D37A13C" w14:textId="77777777" w:rsidR="000B77C1" w:rsidRDefault="000B77C1" w:rsidP="006A751F">
      <w:pPr>
        <w:pStyle w:val="NormalWeb"/>
        <w:shd w:val="clear" w:color="auto" w:fill="FFFFFF"/>
        <w:tabs>
          <w:tab w:val="left" w:pos="5220"/>
        </w:tabs>
        <w:spacing w:before="0" w:beforeAutospacing="0" w:after="0" w:afterAutospacing="0"/>
        <w:jc w:val="both"/>
        <w:rPr>
          <w:sz w:val="22"/>
          <w:szCs w:val="25"/>
        </w:rPr>
      </w:pPr>
    </w:p>
    <w:p w14:paraId="3C2DC068" w14:textId="77777777" w:rsidR="00555748" w:rsidRPr="000B77C1" w:rsidRDefault="00555748" w:rsidP="006A751F">
      <w:pPr>
        <w:pStyle w:val="NormalWeb"/>
        <w:shd w:val="clear" w:color="auto" w:fill="FFFFFF"/>
        <w:tabs>
          <w:tab w:val="left" w:pos="5220"/>
        </w:tabs>
        <w:spacing w:before="0" w:beforeAutospacing="0" w:after="0" w:afterAutospacing="0"/>
        <w:jc w:val="both"/>
        <w:rPr>
          <w:sz w:val="10"/>
          <w:szCs w:val="14"/>
        </w:rPr>
      </w:pPr>
    </w:p>
    <w:tbl>
      <w:tblPr>
        <w:tblStyle w:val="TableGrid1"/>
        <w:tblpPr w:leftFromText="144" w:rightFromText="144" w:topFromText="216" w:bottomFromText="216" w:vertAnchor="page" w:horzAnchor="margin" w:tblpY="829"/>
        <w:tblW w:w="5295"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95"/>
      </w:tblGrid>
      <w:tr w:rsidR="000B77C1" w:rsidRPr="00D30540" w14:paraId="0E3AE67F" w14:textId="77777777" w:rsidTr="000B77C1">
        <w:trPr>
          <w:trHeight w:val="521"/>
        </w:trPr>
        <w:tc>
          <w:tcPr>
            <w:tcW w:w="5295" w:type="dxa"/>
            <w:shd w:val="clear" w:color="auto" w:fill="D9D9D9" w:themeFill="background1" w:themeFillShade="D9"/>
          </w:tcPr>
          <w:p w14:paraId="54A66343" w14:textId="77777777" w:rsidR="000B77C1" w:rsidRPr="00D30540" w:rsidRDefault="000B77C1" w:rsidP="000B77C1">
            <w:pPr>
              <w:tabs>
                <w:tab w:val="num" w:pos="450"/>
              </w:tabs>
              <w:ind w:left="450" w:hanging="360"/>
              <w:jc w:val="center"/>
              <w:textAlignment w:val="baseline"/>
              <w:rPr>
                <w:rFonts w:eastAsia="Times New Roman" w:cstheme="minorHAnsi"/>
                <w:b/>
                <w:color w:val="3B3838" w:themeColor="background2" w:themeShade="40"/>
                <w:spacing w:val="52"/>
                <w:sz w:val="32"/>
                <w:szCs w:val="34"/>
                <w:u w:val="single"/>
              </w:rPr>
            </w:pPr>
            <w:r w:rsidRPr="00D30540">
              <w:rPr>
                <w:rFonts w:eastAsia="Times New Roman" w:cstheme="minorHAnsi"/>
                <w:b/>
                <w:color w:val="3B3838" w:themeColor="background2" w:themeShade="40"/>
                <w:sz w:val="44"/>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Key Points</w:t>
            </w:r>
          </w:p>
        </w:tc>
      </w:tr>
      <w:tr w:rsidR="000B77C1" w:rsidRPr="00D30540" w14:paraId="6EB60F7B" w14:textId="77777777" w:rsidTr="00C31DA1">
        <w:trPr>
          <w:trHeight w:val="642"/>
        </w:trPr>
        <w:tc>
          <w:tcPr>
            <w:tcW w:w="5295" w:type="dxa"/>
            <w:shd w:val="clear" w:color="auto" w:fill="D9D9D9" w:themeFill="background1" w:themeFillShade="D9"/>
            <w:vAlign w:val="center"/>
          </w:tcPr>
          <w:p w14:paraId="04A951DC"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Volatility continued to be elevated in Q3 and looks to remain for Q4.</w:t>
            </w:r>
          </w:p>
        </w:tc>
      </w:tr>
      <w:tr w:rsidR="000B77C1" w:rsidRPr="00D30540" w14:paraId="222FCA0C" w14:textId="77777777" w:rsidTr="000B77C1">
        <w:trPr>
          <w:trHeight w:val="795"/>
        </w:trPr>
        <w:tc>
          <w:tcPr>
            <w:tcW w:w="5295" w:type="dxa"/>
            <w:shd w:val="clear" w:color="auto" w:fill="D9D9D9" w:themeFill="background1" w:themeFillShade="D9"/>
            <w:vAlign w:val="center"/>
          </w:tcPr>
          <w:p w14:paraId="597CC21D"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Interest rates are still in the spotlight as Fed cuts rates twice in Q3.</w:t>
            </w:r>
          </w:p>
        </w:tc>
      </w:tr>
      <w:tr w:rsidR="000B77C1" w:rsidRPr="00D30540" w14:paraId="701190F3" w14:textId="77777777" w:rsidTr="000B77C1">
        <w:trPr>
          <w:trHeight w:val="363"/>
        </w:trPr>
        <w:tc>
          <w:tcPr>
            <w:tcW w:w="5295" w:type="dxa"/>
            <w:shd w:val="clear" w:color="auto" w:fill="D9D9D9" w:themeFill="background1" w:themeFillShade="D9"/>
            <w:vAlign w:val="center"/>
          </w:tcPr>
          <w:p w14:paraId="1E66FD56"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Consumer confidence remains strong but tariff’s bring caution and concern.</w:t>
            </w:r>
          </w:p>
        </w:tc>
      </w:tr>
      <w:tr w:rsidR="000B77C1" w:rsidRPr="00D30540" w14:paraId="3467CF32" w14:textId="77777777" w:rsidTr="000B77C1">
        <w:trPr>
          <w:trHeight w:val="912"/>
        </w:trPr>
        <w:tc>
          <w:tcPr>
            <w:tcW w:w="5295" w:type="dxa"/>
            <w:shd w:val="clear" w:color="auto" w:fill="D9D9D9" w:themeFill="background1" w:themeFillShade="D9"/>
            <w:vAlign w:val="center"/>
          </w:tcPr>
          <w:p w14:paraId="6CF2A9C5"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Trade War and tariffs between China and the U.S. bring market anxieties.</w:t>
            </w:r>
          </w:p>
        </w:tc>
      </w:tr>
      <w:tr w:rsidR="000B77C1" w:rsidRPr="00D30540" w14:paraId="3084FAA8" w14:textId="77777777" w:rsidTr="000B77C1">
        <w:trPr>
          <w:trHeight w:val="528"/>
        </w:trPr>
        <w:tc>
          <w:tcPr>
            <w:tcW w:w="5295" w:type="dxa"/>
            <w:shd w:val="clear" w:color="auto" w:fill="D9D9D9" w:themeFill="background1" w:themeFillShade="D9"/>
            <w:vAlign w:val="center"/>
          </w:tcPr>
          <w:p w14:paraId="0D8488E9"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U.S. and global political uncertainty remain a key item to watch.</w:t>
            </w:r>
          </w:p>
        </w:tc>
      </w:tr>
      <w:tr w:rsidR="000B77C1" w:rsidRPr="00D30540" w14:paraId="67D6F4F1" w14:textId="77777777" w:rsidTr="00C31DA1">
        <w:trPr>
          <w:trHeight w:val="1092"/>
        </w:trPr>
        <w:tc>
          <w:tcPr>
            <w:tcW w:w="5295" w:type="dxa"/>
            <w:shd w:val="clear" w:color="auto" w:fill="D9D9D9" w:themeFill="background1" w:themeFillShade="D9"/>
            <w:vAlign w:val="center"/>
          </w:tcPr>
          <w:p w14:paraId="7890D8B8"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Now is the ideal time to revisit your personal objectives and the strategies to achieve them.</w:t>
            </w:r>
          </w:p>
        </w:tc>
      </w:tr>
    </w:tbl>
    <w:p w14:paraId="74C66A41" w14:textId="727FA1D9" w:rsidR="00542BCA" w:rsidRPr="003472D7" w:rsidRDefault="00CD1E6B"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 </w:t>
      </w:r>
      <w:r w:rsidR="00542BCA" w:rsidRPr="003472D7">
        <w:rPr>
          <w:rFonts w:asciiTheme="minorHAnsi" w:eastAsiaTheme="minorHAnsi" w:hAnsiTheme="minorHAnsi" w:cstheme="minorHAnsi"/>
          <w:b/>
          <w:color w:val="1F3864" w:themeColor="accent5" w:themeShade="80"/>
          <w:sz w:val="28"/>
          <w:szCs w:val="30"/>
          <w:lang w:bidi="en-US"/>
        </w:rPr>
        <w:t>Interest Rates Are Still in the Spotlight</w:t>
      </w:r>
    </w:p>
    <w:p w14:paraId="7AE72DE8" w14:textId="541F682F" w:rsidR="00542BCA" w:rsidRPr="00D30540" w:rsidRDefault="00542BCA" w:rsidP="00F11561">
      <w:pPr>
        <w:pStyle w:val="NormalWeb"/>
        <w:spacing w:after="0"/>
        <w:jc w:val="both"/>
        <w:rPr>
          <w:sz w:val="22"/>
          <w:szCs w:val="25"/>
        </w:rPr>
      </w:pPr>
      <w:r w:rsidRPr="00D30540">
        <w:rPr>
          <w:sz w:val="22"/>
          <w:szCs w:val="25"/>
        </w:rPr>
        <w:t xml:space="preserve">On Wednesday, September 18, the Federal Reserve lowered interest rates </w:t>
      </w:r>
      <w:r w:rsidR="00F96A93" w:rsidRPr="00D30540">
        <w:rPr>
          <w:sz w:val="22"/>
          <w:szCs w:val="25"/>
        </w:rPr>
        <w:t xml:space="preserve">for the second time </w:t>
      </w:r>
      <w:r w:rsidR="00B27F82">
        <w:rPr>
          <w:sz w:val="22"/>
          <w:szCs w:val="25"/>
        </w:rPr>
        <w:t>in the third</w:t>
      </w:r>
      <w:r w:rsidR="00F96A93" w:rsidRPr="00D30540">
        <w:rPr>
          <w:sz w:val="22"/>
          <w:szCs w:val="25"/>
        </w:rPr>
        <w:t xml:space="preserve"> quarter </w:t>
      </w:r>
      <w:r w:rsidRPr="00D30540">
        <w:rPr>
          <w:sz w:val="22"/>
          <w:szCs w:val="25"/>
        </w:rPr>
        <w:t xml:space="preserve">by 25 basis points down to a range of 1.75-2%. </w:t>
      </w:r>
      <w:r w:rsidR="00D30540">
        <w:rPr>
          <w:sz w:val="22"/>
          <w:szCs w:val="25"/>
        </w:rPr>
        <w:t xml:space="preserve">This </w:t>
      </w:r>
      <w:r w:rsidR="003E7A84">
        <w:rPr>
          <w:sz w:val="22"/>
          <w:szCs w:val="25"/>
        </w:rPr>
        <w:t xml:space="preserve">reduction </w:t>
      </w:r>
      <w:r w:rsidR="00D30540">
        <w:rPr>
          <w:sz w:val="22"/>
          <w:szCs w:val="25"/>
        </w:rPr>
        <w:t xml:space="preserve">was after a similar rate cut as a result of their July session.  </w:t>
      </w:r>
      <w:r w:rsidRPr="00D30540">
        <w:rPr>
          <w:sz w:val="22"/>
          <w:szCs w:val="25"/>
        </w:rPr>
        <w:t>Prior to July, the Fed had raised rates over nine times since December 2015. The reasoning for this most recent rate cut was weakening exports and low inflation. Th</w:t>
      </w:r>
      <w:r w:rsidR="00F96A93" w:rsidRPr="00D30540">
        <w:rPr>
          <w:sz w:val="22"/>
          <w:szCs w:val="25"/>
        </w:rPr>
        <w:t xml:space="preserve">is quarter’s two rate cuts were the first time </w:t>
      </w:r>
      <w:r w:rsidRPr="00D30540">
        <w:rPr>
          <w:sz w:val="22"/>
          <w:szCs w:val="25"/>
        </w:rPr>
        <w:t xml:space="preserve">in over a decade that the Fed lowered interest rates. </w:t>
      </w:r>
    </w:p>
    <w:p w14:paraId="6A718676" w14:textId="28F547BC" w:rsidR="00F1547D" w:rsidRPr="00D30540" w:rsidRDefault="00542BCA" w:rsidP="00C33B54">
      <w:pPr>
        <w:pStyle w:val="p"/>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w:t>
      </w:r>
      <w:r w:rsidR="00581994" w:rsidRPr="00D30540">
        <w:rPr>
          <w:sz w:val="22"/>
          <w:szCs w:val="25"/>
        </w:rPr>
        <w:t>other than food and energy are running below 2 percent.”</w:t>
      </w:r>
      <w:r w:rsidR="00581994" w:rsidRPr="00D30540">
        <w:rPr>
          <w:rFonts w:asciiTheme="minorHAnsi" w:hAnsiTheme="minorHAnsi" w:cstheme="minorHAnsi"/>
          <w:color w:val="3B3838" w:themeColor="background2" w:themeShade="40"/>
          <w:sz w:val="22"/>
        </w:rPr>
        <w:t xml:space="preserve"> </w:t>
      </w:r>
      <w:r w:rsidR="00581994" w:rsidRPr="00D30540">
        <w:rPr>
          <w:b/>
          <w:i/>
          <w:sz w:val="16"/>
          <w:szCs w:val="22"/>
        </w:rPr>
        <w:t>(foxbusiness.com 9.18.2019)</w:t>
      </w:r>
    </w:p>
    <w:p w14:paraId="4DB5192D" w14:textId="397DF02B" w:rsidR="00542BCA" w:rsidRPr="00D30540" w:rsidRDefault="00542BCA" w:rsidP="00C33B54">
      <w:pPr>
        <w:pStyle w:val="NormalWeb"/>
        <w:spacing w:after="0"/>
        <w:jc w:val="both"/>
        <w:rPr>
          <w:sz w:val="22"/>
          <w:szCs w:val="25"/>
        </w:rPr>
      </w:pPr>
      <w:r w:rsidRPr="00D30540">
        <w:rPr>
          <w:sz w:val="22"/>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p w14:paraId="0DCF04A1" w14:textId="474C4176" w:rsidR="00C33B54" w:rsidRPr="00C33B54" w:rsidRDefault="00C33B54" w:rsidP="00C33B54">
      <w:pPr>
        <w:pStyle w:val="NormalWeb"/>
        <w:spacing w:after="0"/>
        <w:jc w:val="both"/>
        <w:rPr>
          <w:sz w:val="22"/>
          <w:szCs w:val="25"/>
        </w:rPr>
      </w:pPr>
      <w:r w:rsidRPr="00D30540">
        <w:rPr>
          <w:b/>
          <w:sz w:val="22"/>
          <w:szCs w:val="25"/>
        </w:rPr>
        <w:t>Interest rates will continue to be on the forefront of our “watch” list.</w:t>
      </w:r>
      <w:r w:rsidRPr="00D30540">
        <w:rPr>
          <w:rFonts w:asciiTheme="minorHAnsi" w:hAnsiTheme="minorHAnsi" w:cstheme="minorHAnsi"/>
          <w:b/>
          <w:i/>
          <w:iCs/>
          <w:color w:val="3B3838" w:themeColor="background2" w:themeShade="40"/>
          <w:sz w:val="18"/>
          <w:szCs w:val="20"/>
        </w:rPr>
        <w:t xml:space="preserve"> </w:t>
      </w:r>
    </w:p>
    <w:p w14:paraId="7144B875" w14:textId="63F3FA0D" w:rsidR="00CD1E6B" w:rsidRPr="00CD1E6B" w:rsidRDefault="00542BCA" w:rsidP="00CD1E6B">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Consumer Confidence </w:t>
      </w:r>
    </w:p>
    <w:p w14:paraId="12B73891" w14:textId="21CCB3B2" w:rsidR="000229C0" w:rsidRDefault="00CD1E6B" w:rsidP="00CD1E6B">
      <w:pPr>
        <w:pStyle w:val="NormalWeb"/>
        <w:spacing w:before="0" w:beforeAutospacing="0" w:after="0"/>
        <w:jc w:val="both"/>
        <w:rPr>
          <w:sz w:val="22"/>
          <w:szCs w:val="25"/>
        </w:rPr>
      </w:pPr>
      <w:r>
        <w:rPr>
          <w:sz w:val="22"/>
          <w:szCs w:val="25"/>
        </w:rPr>
        <w:br/>
      </w:r>
      <w:r w:rsidR="00542BCA" w:rsidRPr="00D30540">
        <w:rPr>
          <w:sz w:val="22"/>
          <w:szCs w:val="25"/>
        </w:rPr>
        <w:t xml:space="preserve">A notable point for the third quarter is that in September, U.S. consumer confidence fell to 125.1, down from 134.2 in </w:t>
      </w:r>
      <w:r w:rsidR="00542BCA" w:rsidRPr="00D30540">
        <w:rPr>
          <w:sz w:val="22"/>
          <w:szCs w:val="25"/>
        </w:rPr>
        <w:t xml:space="preserve">August. This drop was the biggest in nine months. Lynn Franco, Senior Director of </w:t>
      </w:r>
      <w:r w:rsidR="00542BCA" w:rsidRPr="00F1547D">
        <w:rPr>
          <w:szCs w:val="25"/>
        </w:rPr>
        <w:t xml:space="preserve">Economic Indicators at the </w:t>
      </w:r>
      <w:r w:rsidR="00542BCA" w:rsidRPr="00D30540">
        <w:rPr>
          <w:sz w:val="22"/>
          <w:szCs w:val="25"/>
        </w:rPr>
        <w:t>Conference Board stated, “The escalation in trade and tariff tensions in</w:t>
      </w:r>
      <w:r w:rsidR="00542BCA" w:rsidRPr="00D30540">
        <w:rPr>
          <w:rFonts w:asciiTheme="minorHAnsi" w:hAnsiTheme="minorHAnsi" w:cstheme="minorHAnsi"/>
          <w:color w:val="3B3838" w:themeColor="background2" w:themeShade="40"/>
          <w:szCs w:val="25"/>
        </w:rPr>
        <w:t xml:space="preserve"> </w:t>
      </w:r>
      <w:r w:rsidR="00542BCA" w:rsidRPr="00D30540">
        <w:rPr>
          <w:sz w:val="22"/>
          <w:szCs w:val="25"/>
        </w:rPr>
        <w:t>late August appears to have rattled consumers.” He continued, “However, this pattern of uncertainty and volatility has persisted for much of the year and it appears confidence is plateauing.”</w:t>
      </w:r>
      <w:r w:rsidR="003472D7">
        <w:rPr>
          <w:sz w:val="22"/>
          <w:szCs w:val="25"/>
        </w:rPr>
        <w:t xml:space="preserve">  </w:t>
      </w:r>
      <w:r w:rsidR="00542BCA" w:rsidRPr="003472D7">
        <w:rPr>
          <w:sz w:val="22"/>
          <w:szCs w:val="22"/>
        </w:rPr>
        <w:t>Franco continued, “Consumers were less positive in their assessment of current conditions and their expectations regarding the short-term outlook also weakened. While confidence could continue hovering around current levels for months to come, at some point this continued</w:t>
      </w:r>
      <w:r w:rsidR="00542BCA" w:rsidRPr="00F1547D">
        <w:rPr>
          <w:szCs w:val="25"/>
        </w:rPr>
        <w:t xml:space="preserve"> </w:t>
      </w:r>
      <w:r w:rsidR="00542BCA" w:rsidRPr="00D30540">
        <w:rPr>
          <w:sz w:val="22"/>
          <w:szCs w:val="25"/>
        </w:rPr>
        <w:t>uncertainty will begin to diminish consumers’ confidence in the expansion.”</w:t>
      </w:r>
      <w:r w:rsidR="00F12B31">
        <w:rPr>
          <w:sz w:val="22"/>
          <w:szCs w:val="25"/>
        </w:rPr>
        <w:t xml:space="preserve"> </w:t>
      </w:r>
      <w:r w:rsidR="00542BCA" w:rsidRPr="00D30540">
        <w:rPr>
          <w:b/>
          <w:i/>
          <w:sz w:val="16"/>
          <w:szCs w:val="22"/>
        </w:rPr>
        <w:t>(</w:t>
      </w:r>
      <w:r w:rsidR="00F12B31">
        <w:rPr>
          <w:b/>
          <w:i/>
          <w:sz w:val="16"/>
          <w:szCs w:val="22"/>
        </w:rPr>
        <w:t>CNBC</w:t>
      </w:r>
      <w:r w:rsidR="00542BCA" w:rsidRPr="00D30540">
        <w:rPr>
          <w:b/>
          <w:i/>
          <w:sz w:val="16"/>
          <w:szCs w:val="22"/>
        </w:rPr>
        <w:t xml:space="preserve">.com; 9/24/19; </w:t>
      </w:r>
      <w:r w:rsidR="00F12B31" w:rsidRPr="00D30540">
        <w:rPr>
          <w:b/>
          <w:i/>
          <w:sz w:val="16"/>
          <w:szCs w:val="22"/>
        </w:rPr>
        <w:t>Bloomberg</w:t>
      </w:r>
      <w:r w:rsidR="00F12B31">
        <w:rPr>
          <w:b/>
          <w:i/>
          <w:sz w:val="16"/>
          <w:szCs w:val="22"/>
        </w:rPr>
        <w:t>.com</w:t>
      </w:r>
      <w:r w:rsidR="00542BCA" w:rsidRPr="00D30540">
        <w:rPr>
          <w:b/>
          <w:i/>
          <w:sz w:val="16"/>
          <w:szCs w:val="22"/>
        </w:rPr>
        <w:t xml:space="preserve"> 9/24/19)</w:t>
      </w:r>
    </w:p>
    <w:p w14:paraId="470DB1EE" w14:textId="577C347F" w:rsidR="00542BCA" w:rsidRPr="00D30540" w:rsidRDefault="00542BCA" w:rsidP="003472D7">
      <w:pPr>
        <w:pStyle w:val="NormalWeb"/>
        <w:spacing w:before="0" w:beforeAutospacing="0" w:after="0"/>
        <w:jc w:val="both"/>
        <w:rPr>
          <w:sz w:val="22"/>
          <w:szCs w:val="25"/>
        </w:rPr>
      </w:pPr>
      <w:r w:rsidRPr="00D30540">
        <w:rPr>
          <w:sz w:val="22"/>
          <w:szCs w:val="25"/>
        </w:rPr>
        <w:t>Despite the dip in consumer confidence, the trend still appears to be that the consumer will support the current U.S. expansion, although spending may be more moderate.</w:t>
      </w:r>
    </w:p>
    <w:p w14:paraId="736FC59C" w14:textId="57DCCAD0" w:rsidR="00542BCA" w:rsidRPr="003472D7" w:rsidRDefault="00542BCA" w:rsidP="00F12B31">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Media Magnification and </w:t>
      </w:r>
      <w:r w:rsidRPr="003472D7">
        <w:rPr>
          <w:rFonts w:asciiTheme="minorHAnsi" w:eastAsiaTheme="minorHAnsi" w:hAnsiTheme="minorHAnsi" w:cstheme="minorHAnsi"/>
          <w:b/>
          <w:color w:val="1F3864" w:themeColor="accent5" w:themeShade="80"/>
          <w:sz w:val="28"/>
          <w:szCs w:val="30"/>
          <w:lang w:bidi="en-US"/>
        </w:rPr>
        <w:br/>
        <w:t>The Inverted Yield Curve</w:t>
      </w:r>
    </w:p>
    <w:p w14:paraId="21FCDCD2" w14:textId="5F6A6473" w:rsidR="00542BCA" w:rsidRPr="00D30540" w:rsidRDefault="00542BCA" w:rsidP="003472D7">
      <w:pPr>
        <w:pStyle w:val="NormalWeb"/>
        <w:spacing w:after="0"/>
        <w:jc w:val="both"/>
        <w:rPr>
          <w:sz w:val="22"/>
          <w:szCs w:val="25"/>
        </w:rPr>
      </w:pPr>
      <w:r w:rsidRPr="00D30540">
        <w:rPr>
          <w:sz w:val="22"/>
          <w:szCs w:val="25"/>
        </w:rPr>
        <w:t>A quick way to spook many investors is to utter these three words, “inverted yield curve.” The third quarter of 2019 experienced the demonized inverted yield curve, sparking fears of a recession.</w:t>
      </w:r>
    </w:p>
    <w:p w14:paraId="7CB03489" w14:textId="09A2D3EC" w:rsidR="00542BCA" w:rsidRPr="00D30540" w:rsidRDefault="00542BCA" w:rsidP="00C33B54">
      <w:pPr>
        <w:pStyle w:val="NormalWeb"/>
        <w:spacing w:after="0"/>
        <w:jc w:val="both"/>
        <w:rPr>
          <w:sz w:val="22"/>
          <w:szCs w:val="25"/>
        </w:rPr>
      </w:pPr>
      <w:r w:rsidRPr="00D30540">
        <w:rPr>
          <w:sz w:val="22"/>
          <w:szCs w:val="25"/>
        </w:rPr>
        <w:t xml:space="preserve">In brief, a “normal” yield curve has an upward arc. An inverted yield curve is just that, a curve that slopes downward. This shows that interest rates on short-term bonds is higher than </w:t>
      </w:r>
      <w:r w:rsidR="00F465F2" w:rsidRPr="00D30540">
        <w:rPr>
          <w:sz w:val="22"/>
          <w:szCs w:val="25"/>
        </w:rPr>
        <w:t xml:space="preserve">some </w:t>
      </w:r>
      <w:r w:rsidRPr="00D30540">
        <w:rPr>
          <w:sz w:val="22"/>
          <w:szCs w:val="25"/>
        </w:rPr>
        <w:t>long</w:t>
      </w:r>
      <w:r w:rsidR="00F465F2" w:rsidRPr="00D30540">
        <w:rPr>
          <w:sz w:val="22"/>
          <w:szCs w:val="25"/>
        </w:rPr>
        <w:t>er</w:t>
      </w:r>
      <w:r w:rsidRPr="00D30540">
        <w:rPr>
          <w:sz w:val="22"/>
          <w:szCs w:val="25"/>
        </w:rPr>
        <w:t>-term bonds.</w:t>
      </w:r>
    </w:p>
    <w:p w14:paraId="0EDC5A38" w14:textId="133F1FD0" w:rsidR="00542BCA" w:rsidRPr="000229C0" w:rsidRDefault="00542BCA" w:rsidP="00C33B54">
      <w:pPr>
        <w:pStyle w:val="NormalWeb"/>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In August</w:t>
      </w:r>
      <w:r w:rsidR="0024701F">
        <w:rPr>
          <w:sz w:val="22"/>
          <w:szCs w:val="25"/>
        </w:rPr>
        <w:t>,</w:t>
      </w:r>
      <w:r w:rsidRPr="00D30540">
        <w:rPr>
          <w:sz w:val="22"/>
          <w:szCs w:val="25"/>
        </w:rPr>
        <w:t xml:space="preserve"> for the first since 2007, the spread between the 2-year and 10-year </w:t>
      </w:r>
      <w:r w:rsidR="00F465F2" w:rsidRPr="00D30540">
        <w:rPr>
          <w:sz w:val="22"/>
          <w:szCs w:val="25"/>
        </w:rPr>
        <w:t xml:space="preserve">treasury </w:t>
      </w:r>
      <w:r w:rsidRPr="00D30540">
        <w:rPr>
          <w:sz w:val="22"/>
          <w:szCs w:val="25"/>
        </w:rPr>
        <w:t>yields turned negative. The 30-year</w:t>
      </w:r>
      <w:r w:rsidR="00F465F2" w:rsidRPr="00D30540">
        <w:rPr>
          <w:sz w:val="22"/>
          <w:szCs w:val="25"/>
        </w:rPr>
        <w:t xml:space="preserve"> treasury</w:t>
      </w:r>
      <w:r w:rsidRPr="00D30540">
        <w:rPr>
          <w:sz w:val="22"/>
          <w:szCs w:val="25"/>
        </w:rPr>
        <w:t xml:space="preserve"> bond yield dropped below 2%. Historically, this has transpired prior to every U.S. recession in the last 50 years.</w:t>
      </w:r>
      <w:r w:rsidRPr="00D30540">
        <w:rPr>
          <w:rFonts w:asciiTheme="minorHAnsi" w:hAnsiTheme="minorHAnsi" w:cstheme="minorHAnsi"/>
          <w:color w:val="3B3838" w:themeColor="background2" w:themeShade="40"/>
          <w:sz w:val="22"/>
        </w:rPr>
        <w:t xml:space="preserve"> </w:t>
      </w:r>
      <w:r w:rsidRPr="00D30540">
        <w:rPr>
          <w:b/>
          <w:i/>
          <w:sz w:val="16"/>
          <w:szCs w:val="22"/>
        </w:rPr>
        <w:t xml:space="preserve">(foxbusiness.com 9.18.2019) </w:t>
      </w:r>
    </w:p>
    <w:p w14:paraId="1F74C878" w14:textId="3048472B" w:rsidR="000229C0" w:rsidRPr="00D30540" w:rsidRDefault="00542BCA" w:rsidP="00C33B54">
      <w:pPr>
        <w:pStyle w:val="NormalWeb"/>
        <w:spacing w:after="0"/>
        <w:jc w:val="both"/>
        <w:rPr>
          <w:sz w:val="22"/>
          <w:szCs w:val="25"/>
        </w:rPr>
      </w:pPr>
      <w:r w:rsidRPr="00D30540">
        <w:rPr>
          <w:sz w:val="22"/>
          <w:szCs w:val="25"/>
        </w:rPr>
        <w:t>This inverted yield curve lasted briefly but the theory behind what it potentially hails has resonated in the minds of many investors. The media is doing an excellent part in keeping the fear of a recession at the forefront of many investor’s thoughts.</w:t>
      </w:r>
      <w:r w:rsidR="000229C0">
        <w:rPr>
          <w:sz w:val="22"/>
          <w:szCs w:val="25"/>
        </w:rPr>
        <w:t xml:space="preserve">  With talks of economic slowdowns and future concerns, investors need to prepare and proceed with caution.</w:t>
      </w:r>
    </w:p>
    <w:p w14:paraId="290AE1F0" w14:textId="225FBB74" w:rsidR="00542BCA" w:rsidRPr="003472D7" w:rsidRDefault="00542BCA" w:rsidP="0092051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Global Economy and </w:t>
      </w:r>
      <w:r w:rsidR="00F465F2" w:rsidRPr="003472D7">
        <w:rPr>
          <w:rFonts w:asciiTheme="minorHAnsi" w:eastAsiaTheme="minorHAnsi" w:hAnsiTheme="minorHAnsi" w:cstheme="minorHAnsi"/>
          <w:b/>
          <w:color w:val="1F3864" w:themeColor="accent5" w:themeShade="80"/>
          <w:sz w:val="28"/>
          <w:szCs w:val="30"/>
          <w:lang w:bidi="en-US"/>
        </w:rPr>
        <w:t xml:space="preserve">Political </w:t>
      </w:r>
      <w:r w:rsidRPr="003472D7">
        <w:rPr>
          <w:rFonts w:asciiTheme="minorHAnsi" w:eastAsiaTheme="minorHAnsi" w:hAnsiTheme="minorHAnsi" w:cstheme="minorHAnsi"/>
          <w:b/>
          <w:color w:val="1F3864" w:themeColor="accent5" w:themeShade="80"/>
          <w:sz w:val="28"/>
          <w:szCs w:val="30"/>
          <w:lang w:bidi="en-US"/>
        </w:rPr>
        <w:t>Concerns</w:t>
      </w:r>
    </w:p>
    <w:p w14:paraId="218A8470" w14:textId="45166784" w:rsidR="00542BCA" w:rsidRPr="00D30540" w:rsidRDefault="00CD1E6B" w:rsidP="0092051A">
      <w:pPr>
        <w:pStyle w:val="NormalWeb"/>
        <w:spacing w:before="0" w:beforeAutospacing="0" w:after="0" w:afterAutospacing="0"/>
        <w:jc w:val="both"/>
        <w:rPr>
          <w:rFonts w:asciiTheme="minorHAnsi" w:hAnsiTheme="minorHAnsi" w:cstheme="minorHAnsi"/>
          <w:i/>
          <w:iCs/>
          <w:color w:val="3B3838" w:themeColor="background2" w:themeShade="40"/>
          <w:sz w:val="18"/>
          <w:szCs w:val="20"/>
        </w:rPr>
      </w:pPr>
      <w:r>
        <w:rPr>
          <w:sz w:val="22"/>
          <w:szCs w:val="25"/>
        </w:rPr>
        <w:br/>
      </w:r>
      <w:r w:rsidR="00542BCA" w:rsidRPr="00D30540">
        <w:rPr>
          <w:sz w:val="22"/>
          <w:szCs w:val="25"/>
        </w:rPr>
        <w:t xml:space="preserve">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w:t>
      </w:r>
      <w:r w:rsidRPr="00D30540">
        <w:rPr>
          <w:noProof/>
          <w:sz w:val="22"/>
        </w:rPr>
        <w:lastRenderedPageBreak/>
        <w:drawing>
          <wp:anchor distT="0" distB="0" distL="114300" distR="114300" simplePos="0" relativeHeight="251737600" behindDoc="1" locked="0" layoutInCell="1" allowOverlap="1" wp14:anchorId="3782F1DC" wp14:editId="5EBF6919">
            <wp:simplePos x="0" y="0"/>
            <wp:positionH relativeFrom="column">
              <wp:posOffset>3657600</wp:posOffset>
            </wp:positionH>
            <wp:positionV relativeFrom="paragraph">
              <wp:posOffset>0</wp:posOffset>
            </wp:positionV>
            <wp:extent cx="3381375" cy="2143125"/>
            <wp:effectExtent l="0" t="0" r="9525" b="9525"/>
            <wp:wrapTight wrapText="bothSides">
              <wp:wrapPolygon edited="0">
                <wp:start x="0" y="0"/>
                <wp:lineTo x="0" y="21504"/>
                <wp:lineTo x="21539" y="21504"/>
                <wp:lineTo x="215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D30540">
        <w:rPr>
          <w:sz w:val="22"/>
          <w:szCs w:val="25"/>
        </w:rPr>
        <w:t>stock market into a fast plunge of over 950 points on August 5, the steepest drop yet in 2019. This dive also marked the sixth biggest point drop in the DJIA’s 123-year history.</w:t>
      </w:r>
      <w:r w:rsidR="00542BCA" w:rsidRPr="00D30540">
        <w:rPr>
          <w:rFonts w:asciiTheme="minorHAnsi" w:hAnsiTheme="minorHAnsi" w:cstheme="minorHAnsi"/>
          <w:color w:val="3B3838" w:themeColor="background2" w:themeShade="40"/>
          <w:sz w:val="22"/>
        </w:rPr>
        <w:t xml:space="preserve"> </w:t>
      </w:r>
      <w:r w:rsidR="00542BCA" w:rsidRPr="00D30540">
        <w:rPr>
          <w:b/>
          <w:i/>
          <w:sz w:val="16"/>
          <w:szCs w:val="22"/>
        </w:rPr>
        <w:t>(nypost.com, 8/2019)</w:t>
      </w:r>
    </w:p>
    <w:p w14:paraId="07483A72" w14:textId="22918459" w:rsidR="00F12B31" w:rsidRDefault="00F12B31" w:rsidP="00C33B54">
      <w:pPr>
        <w:shd w:val="clear" w:color="auto" w:fill="FFFFFF"/>
        <w:spacing w:after="0" w:line="240" w:lineRule="auto"/>
        <w:jc w:val="both"/>
        <w:textAlignment w:val="baseline"/>
        <w:rPr>
          <w:rFonts w:ascii="Times New Roman" w:eastAsia="Times New Roman" w:hAnsi="Times New Roman" w:cs="Times New Roman"/>
          <w:szCs w:val="25"/>
        </w:rPr>
      </w:pPr>
    </w:p>
    <w:p w14:paraId="5A0784C4" w14:textId="58EED5FD" w:rsidR="00542BCA" w:rsidRPr="000229C0" w:rsidRDefault="00542BCA" w:rsidP="00C33B54">
      <w:pPr>
        <w:shd w:val="clear" w:color="auto" w:fill="FFFFFF"/>
        <w:spacing w:after="0" w:line="240" w:lineRule="auto"/>
        <w:jc w:val="both"/>
        <w:textAlignment w:val="baseline"/>
        <w:rPr>
          <w:rFonts w:cstheme="minorHAnsi"/>
          <w:color w:val="3B3838" w:themeColor="background2" w:themeShade="40"/>
          <w:sz w:val="24"/>
          <w:szCs w:val="25"/>
        </w:rPr>
      </w:pPr>
      <w:r w:rsidRPr="00D30540">
        <w:rPr>
          <w:rFonts w:ascii="Times New Roman" w:eastAsia="Times New Roman" w:hAnsi="Times New Roman" w:cs="Times New Roman"/>
          <w:szCs w:val="25"/>
        </w:rPr>
        <w:t xml:space="preserve">Then in September, the President excluded hundreds of items from the 25% duty imposed on Chinese imported goods. </w:t>
      </w:r>
      <w:r w:rsidR="00C33B54">
        <w:rPr>
          <w:rFonts w:ascii="Times New Roman" w:eastAsia="Times New Roman" w:hAnsi="Times New Roman" w:cs="Times New Roman"/>
          <w:szCs w:val="25"/>
        </w:rPr>
        <w:t xml:space="preserve">This brought a calmer response from traders. </w:t>
      </w:r>
      <w:r w:rsidRPr="00D30540">
        <w:rPr>
          <w:rFonts w:ascii="Times New Roman" w:eastAsia="Times New Roman" w:hAnsi="Times New Roman" w:cs="Times New Roman"/>
          <w:b/>
          <w:i/>
          <w:sz w:val="16"/>
        </w:rPr>
        <w:t>(Bloomberg.com 9/30/19)</w:t>
      </w:r>
    </w:p>
    <w:p w14:paraId="7A745FC8" w14:textId="6709C888" w:rsidR="00542BCA" w:rsidRPr="00D30540" w:rsidRDefault="00542BCA" w:rsidP="00C33B54">
      <w:pPr>
        <w:pStyle w:val="NormalWeb"/>
        <w:spacing w:after="0"/>
        <w:jc w:val="both"/>
        <w:rPr>
          <w:sz w:val="20"/>
          <w:szCs w:val="25"/>
        </w:rPr>
      </w:pPr>
      <w:r w:rsidRPr="00D30540">
        <w:rPr>
          <w:sz w:val="22"/>
          <w:szCs w:val="25"/>
        </w:rPr>
        <w:t xml:space="preserve">Tariffs and trade issues could affect equities, so investors should continue to monitor them. The U.S. and China are </w:t>
      </w:r>
      <w:r w:rsidRPr="000229C0">
        <w:rPr>
          <w:sz w:val="22"/>
          <w:szCs w:val="22"/>
        </w:rPr>
        <w:t>the world’s largest economies and a disruption in their symbiotic relationship could affect economies globally.</w:t>
      </w:r>
    </w:p>
    <w:p w14:paraId="59066307" w14:textId="761C4B03" w:rsidR="00542BCA" w:rsidRPr="00D30540" w:rsidRDefault="00542BCA" w:rsidP="00C33B54">
      <w:pPr>
        <w:pStyle w:val="NormalWeb"/>
        <w:spacing w:after="0"/>
        <w:jc w:val="both"/>
        <w:rPr>
          <w:sz w:val="22"/>
          <w:szCs w:val="25"/>
        </w:rPr>
      </w:pPr>
      <w:r w:rsidRPr="00D30540">
        <w:rPr>
          <w:sz w:val="22"/>
          <w:szCs w:val="25"/>
        </w:rPr>
        <w:t>In addition to the ongoing trade wars, the U</w:t>
      </w:r>
      <w:r w:rsidR="002A5DE2" w:rsidRPr="00D30540">
        <w:rPr>
          <w:sz w:val="22"/>
          <w:szCs w:val="25"/>
        </w:rPr>
        <w:t xml:space="preserve">nited </w:t>
      </w:r>
      <w:r w:rsidRPr="00D30540">
        <w:rPr>
          <w:sz w:val="22"/>
          <w:szCs w:val="25"/>
        </w:rPr>
        <w:t>K</w:t>
      </w:r>
      <w:r w:rsidR="002A5DE2" w:rsidRPr="00D30540">
        <w:rPr>
          <w:sz w:val="22"/>
          <w:szCs w:val="25"/>
        </w:rPr>
        <w:t>ingdom</w:t>
      </w:r>
      <w:r w:rsidRPr="00D30540">
        <w:rPr>
          <w:sz w:val="22"/>
          <w:szCs w:val="25"/>
        </w:rPr>
        <w:t xml:space="preserve"> is set to leave the European Union (EU) on October 31. How</w:t>
      </w:r>
      <w:r w:rsidRPr="00D30540">
        <w:rPr>
          <w:rFonts w:asciiTheme="minorHAnsi" w:hAnsiTheme="minorHAnsi" w:cstheme="minorHAnsi"/>
          <w:color w:val="3B3838" w:themeColor="background2" w:themeShade="40"/>
          <w:szCs w:val="25"/>
        </w:rPr>
        <w:t xml:space="preserve"> </w:t>
      </w:r>
      <w:r w:rsidRPr="00D30540">
        <w:rPr>
          <w:sz w:val="22"/>
          <w:szCs w:val="25"/>
        </w:rPr>
        <w:t xml:space="preserve">Brexit may affect global markets is still of concern and an item that needs to be carefully watched. </w:t>
      </w:r>
    </w:p>
    <w:p w14:paraId="6511F0B6" w14:textId="53DE3310" w:rsidR="00542BCA" w:rsidRPr="000229C0" w:rsidRDefault="00F465F2" w:rsidP="00C33B54">
      <w:pPr>
        <w:pStyle w:val="NormalWeb"/>
        <w:spacing w:after="0"/>
        <w:jc w:val="both"/>
        <w:rPr>
          <w:sz w:val="22"/>
          <w:szCs w:val="22"/>
        </w:rPr>
      </w:pPr>
      <w:r w:rsidRPr="000229C0">
        <w:rPr>
          <w:sz w:val="22"/>
          <w:szCs w:val="22"/>
        </w:rPr>
        <w:t>Political uncertainty, including the 2020 elections, also need to be watched.  As financial professionals, our primary focus is on how the political landscape affects investment markets. We will be keeping an eye on global activities and how it may affect you.</w:t>
      </w:r>
    </w:p>
    <w:p w14:paraId="7C4C68E7" w14:textId="3B9807C1" w:rsidR="00542BCA" w:rsidRPr="00D26D7C" w:rsidRDefault="00542BCA" w:rsidP="0092051A">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Corporate Earnings</w:t>
      </w:r>
    </w:p>
    <w:p w14:paraId="1A61709D" w14:textId="0D47E1FE" w:rsidR="00542BCA" w:rsidRPr="00D30540" w:rsidRDefault="00CB1FF8" w:rsidP="00C33B54">
      <w:pPr>
        <w:pStyle w:val="NormalWeb"/>
        <w:spacing w:after="0"/>
        <w:jc w:val="both"/>
        <w:rPr>
          <w:sz w:val="22"/>
          <w:szCs w:val="25"/>
        </w:rPr>
      </w:pPr>
      <w:r>
        <w:rPr>
          <w:sz w:val="22"/>
          <w:szCs w:val="25"/>
        </w:rPr>
        <w:t>C</w:t>
      </w:r>
      <w:r w:rsidR="00542BCA" w:rsidRPr="00D30540">
        <w:rPr>
          <w:sz w:val="22"/>
          <w:szCs w:val="25"/>
        </w:rPr>
        <w:t xml:space="preserve">orporate earnings are </w:t>
      </w:r>
      <w:r>
        <w:rPr>
          <w:sz w:val="22"/>
          <w:szCs w:val="25"/>
        </w:rPr>
        <w:t xml:space="preserve">still </w:t>
      </w:r>
      <w:r w:rsidR="00542BCA" w:rsidRPr="00D30540">
        <w:rPr>
          <w:sz w:val="22"/>
          <w:szCs w:val="25"/>
        </w:rPr>
        <w:t xml:space="preserve">a key </w:t>
      </w:r>
      <w:r>
        <w:rPr>
          <w:sz w:val="22"/>
          <w:szCs w:val="25"/>
        </w:rPr>
        <w:t>factor in</w:t>
      </w:r>
      <w:r w:rsidR="00542BCA" w:rsidRPr="00D30540">
        <w:rPr>
          <w:sz w:val="22"/>
          <w:szCs w:val="25"/>
        </w:rPr>
        <w:t xml:space="preserve"> stock market performance. Stock prices typically rise when quarterly earnings reports meet or exceed market expectations and conversely, tends to lower prices when reports show unrealized expectations in earnings. </w:t>
      </w:r>
    </w:p>
    <w:p w14:paraId="45F181E2" w14:textId="5D1095D7" w:rsidR="00F12B31" w:rsidRPr="00F12B31" w:rsidRDefault="00F96A93" w:rsidP="00F12B31">
      <w:pPr>
        <w:pStyle w:val="NormalWeb"/>
        <w:spacing w:after="0" w:afterAutospacing="0"/>
        <w:jc w:val="both"/>
        <w:rPr>
          <w:b/>
          <w:i/>
          <w:sz w:val="16"/>
          <w:szCs w:val="22"/>
        </w:rPr>
      </w:pPr>
      <w:r w:rsidRPr="00D30540">
        <w:rPr>
          <w:sz w:val="22"/>
          <w:szCs w:val="25"/>
        </w:rPr>
        <w:t xml:space="preserve">Weak corporate profits could be what finally convince investors to start pulling back on stocks, especially if companies start to lower their outlooks for the fourth quarter and 2020.  </w:t>
      </w:r>
      <w:r w:rsidR="00542BCA" w:rsidRPr="00D30540">
        <w:rPr>
          <w:sz w:val="22"/>
          <w:szCs w:val="25"/>
        </w:rPr>
        <w:t>The ripple effect of the trade war and tariffs is seeping into U.S. corporate earnings</w:t>
      </w:r>
      <w:r w:rsidRPr="00D30540">
        <w:rPr>
          <w:sz w:val="22"/>
          <w:szCs w:val="25"/>
        </w:rPr>
        <w:t xml:space="preserve"> and therefore they need to be watched carefully.</w:t>
      </w:r>
      <w:r w:rsidRPr="00D30540">
        <w:rPr>
          <w:b/>
          <w:i/>
          <w:sz w:val="16"/>
          <w:szCs w:val="22"/>
        </w:rPr>
        <w:t xml:space="preserve"> (CNN Business 9/30/2019)</w:t>
      </w:r>
    </w:p>
    <w:p w14:paraId="4D6BB87C" w14:textId="6B669F04" w:rsidR="00542BCA" w:rsidRPr="003472D7" w:rsidRDefault="00542BCA" w:rsidP="0092051A">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Market Outlook for Q4</w:t>
      </w:r>
    </w:p>
    <w:p w14:paraId="38913EDF" w14:textId="170BC1EE" w:rsidR="00542BCA" w:rsidRPr="00D30540" w:rsidRDefault="00CD1E6B" w:rsidP="00CD1E6B">
      <w:pPr>
        <w:pStyle w:val="NormalWeb"/>
        <w:spacing w:after="0"/>
        <w:jc w:val="both"/>
        <w:rPr>
          <w:sz w:val="22"/>
          <w:szCs w:val="25"/>
        </w:rPr>
      </w:pPr>
      <w:r w:rsidRPr="00D30540">
        <w:rPr>
          <w:sz w:val="22"/>
          <w:szCs w:val="25"/>
        </w:rPr>
        <w:t>The month of October has seen five of the stock market’s worst 10 days, including 1987’s more-than 20% single day drop. However, overall</w:t>
      </w:r>
      <w:r w:rsidR="00542BCA" w:rsidRPr="00D30540">
        <w:rPr>
          <w:sz w:val="22"/>
          <w:szCs w:val="25"/>
        </w:rPr>
        <w:t xml:space="preserve">, October typically ends as an average month for the market. </w:t>
      </w:r>
    </w:p>
    <w:p w14:paraId="3725B1FA" w14:textId="0312258B" w:rsidR="00542BCA" w:rsidRPr="00D30540" w:rsidRDefault="00542BCA" w:rsidP="00CD1E6B">
      <w:pPr>
        <w:pStyle w:val="NormalWeb"/>
        <w:spacing w:after="0"/>
        <w:jc w:val="both"/>
        <w:rPr>
          <w:sz w:val="22"/>
          <w:szCs w:val="25"/>
        </w:rPr>
      </w:pPr>
      <w:r w:rsidRPr="00D30540">
        <w:rPr>
          <w:sz w:val="22"/>
          <w:szCs w:val="25"/>
        </w:rPr>
        <w:t>What will the last quarter of 2019 bring?</w:t>
      </w:r>
    </w:p>
    <w:p w14:paraId="20987057" w14:textId="338BC248" w:rsidR="00542BCA" w:rsidRPr="00C33B54" w:rsidRDefault="00186136" w:rsidP="00C33B54">
      <w:pPr>
        <w:pStyle w:val="NormalWeb"/>
        <w:spacing w:after="0"/>
        <w:jc w:val="both"/>
        <w:rPr>
          <w:sz w:val="22"/>
          <w:szCs w:val="22"/>
        </w:rPr>
      </w:pPr>
      <w:r w:rsidRPr="00D30540">
        <w:rPr>
          <w:sz w:val="22"/>
          <w:szCs w:val="25"/>
        </w:rPr>
        <w:t xml:space="preserve">As shown in the chart of monthly market volatility, which tracks the standard deviation of daily returns of the S&amp;P 500 dating back to 1928, October has historically been the most volatile month for U.S. equity markets. November is also </w:t>
      </w:r>
      <w:r w:rsidRPr="00C33B54">
        <w:rPr>
          <w:sz w:val="22"/>
          <w:szCs w:val="22"/>
        </w:rPr>
        <w:t>one of the mo</w:t>
      </w:r>
      <w:r w:rsidR="0024701F">
        <w:rPr>
          <w:sz w:val="22"/>
          <w:szCs w:val="22"/>
        </w:rPr>
        <w:t>st</w:t>
      </w:r>
      <w:r w:rsidRPr="00C33B54">
        <w:rPr>
          <w:sz w:val="22"/>
          <w:szCs w:val="22"/>
        </w:rPr>
        <w:t xml:space="preserve"> volatile months.  </w:t>
      </w:r>
      <w:r w:rsidR="00FD5CDC" w:rsidRPr="00C33B54">
        <w:rPr>
          <w:sz w:val="22"/>
          <w:szCs w:val="22"/>
        </w:rPr>
        <w:t>Seasoned</w:t>
      </w:r>
      <w:r w:rsidR="00542BCA" w:rsidRPr="00C33B54">
        <w:rPr>
          <w:sz w:val="22"/>
          <w:szCs w:val="22"/>
        </w:rPr>
        <w:t xml:space="preserve"> investors understand that volatility is a part of </w:t>
      </w:r>
      <w:r w:rsidR="00FD5CDC" w:rsidRPr="00C33B54">
        <w:rPr>
          <w:sz w:val="22"/>
          <w:szCs w:val="22"/>
        </w:rPr>
        <w:t xml:space="preserve">the  </w:t>
      </w:r>
      <w:r w:rsidR="00542BCA" w:rsidRPr="00C33B54">
        <w:rPr>
          <w:sz w:val="22"/>
          <w:szCs w:val="22"/>
        </w:rPr>
        <w:t>invest</w:t>
      </w:r>
      <w:r w:rsidR="00FD5CDC" w:rsidRPr="00C33B54">
        <w:rPr>
          <w:sz w:val="22"/>
          <w:szCs w:val="22"/>
        </w:rPr>
        <w:t>ment experience</w:t>
      </w:r>
      <w:r w:rsidR="00542BCA" w:rsidRPr="00C33B54">
        <w:rPr>
          <w:sz w:val="22"/>
          <w:szCs w:val="22"/>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5D6CDA00" w:rsidR="00542BCA" w:rsidRPr="00D30540" w:rsidRDefault="003472D7" w:rsidP="00F12B31">
      <w:pPr>
        <w:pStyle w:val="NormalWeb"/>
        <w:spacing w:after="0"/>
        <w:jc w:val="both"/>
        <w:rPr>
          <w:sz w:val="22"/>
          <w:szCs w:val="25"/>
        </w:rPr>
      </w:pPr>
      <w:r w:rsidRPr="00D30540">
        <w:rPr>
          <w:noProof/>
        </w:rPr>
        <w:drawing>
          <wp:anchor distT="0" distB="0" distL="114300" distR="114300" simplePos="0" relativeHeight="251739648" behindDoc="1" locked="0" layoutInCell="1" allowOverlap="1" wp14:anchorId="7CAF3176" wp14:editId="140B17EA">
            <wp:simplePos x="0" y="0"/>
            <wp:positionH relativeFrom="column">
              <wp:posOffset>1692275</wp:posOffset>
            </wp:positionH>
            <wp:positionV relativeFrom="paragraph">
              <wp:posOffset>29845</wp:posOffset>
            </wp:positionV>
            <wp:extent cx="1623060" cy="617220"/>
            <wp:effectExtent l="0" t="0" r="0" b="0"/>
            <wp:wrapTight wrapText="bothSides">
              <wp:wrapPolygon edited="0">
                <wp:start x="0" y="0"/>
                <wp:lineTo x="0" y="20667"/>
                <wp:lineTo x="21296" y="20667"/>
                <wp:lineTo x="21296"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DC" w:rsidRPr="00D30540">
        <w:rPr>
          <w:sz w:val="22"/>
          <w:szCs w:val="25"/>
        </w:rPr>
        <w:t xml:space="preserve">Once again, we are suggesting that in these confusing times it is best to proceed with caution.  </w:t>
      </w:r>
    </w:p>
    <w:p w14:paraId="7A75522A" w14:textId="49621FA5" w:rsidR="00542BCA" w:rsidRPr="003472D7" w:rsidRDefault="00542BCA"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Strategies for Investors </w:t>
      </w:r>
      <w:r w:rsidRPr="003472D7">
        <w:rPr>
          <w:rFonts w:asciiTheme="minorHAnsi" w:eastAsiaTheme="minorHAnsi" w:hAnsiTheme="minorHAnsi" w:cstheme="minorHAnsi"/>
          <w:b/>
          <w:color w:val="1F3864" w:themeColor="accent5" w:themeShade="80"/>
          <w:sz w:val="28"/>
          <w:szCs w:val="30"/>
          <w:lang w:bidi="en-US"/>
        </w:rPr>
        <w:br/>
        <w:t>During Market Volatility</w:t>
      </w:r>
    </w:p>
    <w:p w14:paraId="75246CCA" w14:textId="55FE39CB" w:rsidR="003472D7" w:rsidRPr="003472D7" w:rsidRDefault="003472D7" w:rsidP="00F40D04">
      <w:pPr>
        <w:pStyle w:val="NormalWeb"/>
        <w:spacing w:after="240" w:afterAutospacing="0"/>
        <w:jc w:val="both"/>
        <w:rPr>
          <w:rFonts w:asciiTheme="minorHAnsi" w:hAnsiTheme="minorHAnsi" w:cstheme="minorHAnsi"/>
          <w:b/>
          <w:color w:val="3B3838" w:themeColor="background2" w:themeShade="40"/>
          <w:szCs w:val="25"/>
        </w:rPr>
      </w:pPr>
      <w:r w:rsidRPr="00D30540">
        <w:rPr>
          <w:sz w:val="22"/>
          <w:szCs w:val="25"/>
        </w:rPr>
        <w:t>With fall being a historically volatile time period, we think it could be helpful to continue our theme of sharing strategies to consider during volatile times</w:t>
      </w:r>
      <w:r>
        <w:rPr>
          <w:sz w:val="22"/>
          <w:szCs w:val="25"/>
        </w:rPr>
        <w:t>.</w:t>
      </w:r>
    </w:p>
    <w:p w14:paraId="3FADC468" w14:textId="77B41D8A" w:rsidR="00542BCA" w:rsidRPr="00F40D04" w:rsidRDefault="00542BCA" w:rsidP="00F40D04">
      <w:pPr>
        <w:pStyle w:val="NormalWeb"/>
        <w:numPr>
          <w:ilvl w:val="0"/>
          <w:numId w:val="20"/>
        </w:numPr>
        <w:spacing w:after="0"/>
        <w:ind w:left="360" w:hanging="270"/>
        <w:jc w:val="both"/>
        <w:rPr>
          <w:rFonts w:asciiTheme="minorHAnsi" w:hAnsiTheme="minorHAnsi" w:cstheme="minorHAnsi"/>
          <w:b/>
          <w:color w:val="3B3838" w:themeColor="background2" w:themeShade="40"/>
          <w:sz w:val="26"/>
          <w:szCs w:val="26"/>
        </w:rPr>
      </w:pPr>
      <w:r w:rsidRPr="00F40D04">
        <w:rPr>
          <w:rFonts w:asciiTheme="minorHAnsi" w:hAnsiTheme="minorHAnsi" w:cstheme="minorHAnsi"/>
          <w:b/>
          <w:color w:val="3B3838" w:themeColor="background2" w:themeShade="40"/>
          <w:sz w:val="26"/>
          <w:szCs w:val="26"/>
        </w:rPr>
        <w:t>Revisit your financial goals and objectives</w:t>
      </w:r>
      <w:r w:rsidR="0024701F">
        <w:rPr>
          <w:rFonts w:asciiTheme="minorHAnsi" w:hAnsiTheme="minorHAnsi" w:cstheme="minorHAnsi"/>
          <w:b/>
          <w:color w:val="3B3838" w:themeColor="background2" w:themeShade="40"/>
          <w:sz w:val="26"/>
          <w:szCs w:val="26"/>
        </w:rPr>
        <w:t>.</w:t>
      </w:r>
    </w:p>
    <w:p w14:paraId="08549491" w14:textId="64D1B850" w:rsidR="00542BCA" w:rsidRPr="00C31DA1" w:rsidRDefault="00542BCA" w:rsidP="00F40D04">
      <w:pPr>
        <w:pStyle w:val="NormalWeb"/>
        <w:spacing w:after="0" w:afterAutospacing="0"/>
        <w:jc w:val="both"/>
        <w:rPr>
          <w:sz w:val="22"/>
          <w:szCs w:val="25"/>
        </w:rPr>
      </w:pPr>
      <w:r w:rsidRPr="00D30540">
        <w:rPr>
          <w:sz w:val="22"/>
          <w:szCs w:val="25"/>
        </w:rPr>
        <w:t xml:space="preserve">Always allocate your investments to match your risk </w:t>
      </w:r>
      <w:r w:rsidRPr="00C31DA1">
        <w:rPr>
          <w:sz w:val="22"/>
          <w:szCs w:val="25"/>
        </w:rPr>
        <w:t>tolerance.</w:t>
      </w:r>
    </w:p>
    <w:p w14:paraId="2FD42D6F" w14:textId="11B3AFA3"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If possible, add money to your investments regularly and try to increase your additions during downfalls.   </w:t>
      </w:r>
    </w:p>
    <w:p w14:paraId="79DFBBFC" w14:textId="07F2325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It’s nearly impossible to time the market right (sell when you think the markets at its peak), so have a strategy. </w:t>
      </w:r>
    </w:p>
    <w:p w14:paraId="173BA963" w14:textId="4895340D"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Accept that volatility is inherent to investing.</w:t>
      </w:r>
    </w:p>
    <w:p w14:paraId="66DDF1BC" w14:textId="1F4542E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Consider avoiding or ignoring </w:t>
      </w:r>
      <w:r w:rsidR="00555748" w:rsidRPr="00C31DA1">
        <w:rPr>
          <w:sz w:val="22"/>
        </w:rPr>
        <w:t>daily</w:t>
      </w:r>
      <w:r w:rsidRPr="00C31DA1">
        <w:rPr>
          <w:sz w:val="22"/>
        </w:rPr>
        <w:t xml:space="preserve"> financial news. </w:t>
      </w:r>
    </w:p>
    <w:p w14:paraId="6B8FB108" w14:textId="60CC45B6"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Always try not to make any emotional decisions.</w:t>
      </w:r>
    </w:p>
    <w:p w14:paraId="33E53A78" w14:textId="2B0BE4AB" w:rsidR="00F40D04"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lastRenderedPageBreak/>
        <w:t>Don’t obsessively check your investments. Much like opening the refrigerator over and over again isn’t going to change what’s inside it, checking your investments obsessively isn’t going to alter whether or not your stock</w:t>
      </w:r>
      <w:r w:rsidR="00DF6BF6" w:rsidRPr="00C31DA1">
        <w:rPr>
          <w:sz w:val="22"/>
        </w:rPr>
        <w:t>s</w:t>
      </w:r>
      <w:r w:rsidRPr="00C31DA1">
        <w:rPr>
          <w:sz w:val="22"/>
        </w:rPr>
        <w:t xml:space="preserve"> are going up or down. </w:t>
      </w:r>
    </w:p>
    <w:p w14:paraId="61E53A58" w14:textId="515D2BA3" w:rsidR="006A751F" w:rsidRPr="00CD1E6B" w:rsidRDefault="00CD1E6B" w:rsidP="00CD1E6B">
      <w:pPr>
        <w:pStyle w:val="NormalWeb"/>
        <w:spacing w:before="0" w:beforeAutospacing="0" w:after="0"/>
        <w:jc w:val="center"/>
        <w:rPr>
          <w:sz w:val="26"/>
          <w:szCs w:val="26"/>
        </w:rPr>
      </w:pPr>
      <w:r w:rsidRPr="00C31DA1">
        <w:rPr>
          <w:color w:val="3B3838" w:themeColor="background2" w:themeShade="40"/>
          <w:sz w:val="10"/>
          <w:szCs w:val="12"/>
        </w:rPr>
        <w:br/>
      </w:r>
      <w:r w:rsidR="00542BCA" w:rsidRPr="00CD1E6B">
        <w:rPr>
          <w:rFonts w:asciiTheme="minorHAnsi" w:eastAsiaTheme="minorHAnsi" w:hAnsiTheme="minorHAnsi" w:cstheme="minorHAnsi"/>
          <w:b/>
          <w:color w:val="002060"/>
          <w:sz w:val="26"/>
          <w:szCs w:val="26"/>
        </w:rPr>
        <w:t xml:space="preserve">We focus on </w:t>
      </w:r>
      <w:r w:rsidR="00542BCA" w:rsidRPr="00CD1E6B">
        <w:rPr>
          <w:rFonts w:asciiTheme="minorHAnsi" w:eastAsiaTheme="minorHAnsi" w:hAnsiTheme="minorHAnsi" w:cstheme="minorHAnsi"/>
          <w:b/>
          <w:color w:val="1F3864" w:themeColor="accent5" w:themeShade="80"/>
          <w:sz w:val="26"/>
          <w:szCs w:val="26"/>
          <w:lang w:bidi="en-US"/>
        </w:rPr>
        <w:t xml:space="preserve">YOUR </w:t>
      </w:r>
      <w:r w:rsidR="00542BCA" w:rsidRPr="00CD1E6B">
        <w:rPr>
          <w:rFonts w:asciiTheme="minorHAnsi" w:eastAsiaTheme="minorHAnsi" w:hAnsiTheme="minorHAnsi" w:cstheme="minorHAnsi"/>
          <w:b/>
          <w:color w:val="002060"/>
          <w:sz w:val="26"/>
          <w:szCs w:val="26"/>
        </w:rPr>
        <w:t>personal goals and strategy.</w:t>
      </w:r>
    </w:p>
    <w:p w14:paraId="71705EE3" w14:textId="1D64FF4C" w:rsidR="006A751F" w:rsidRPr="00C31DA1" w:rsidRDefault="006A751F" w:rsidP="006A751F">
      <w:pPr>
        <w:pStyle w:val="NormalWeb"/>
        <w:spacing w:before="0" w:beforeAutospacing="0" w:after="0"/>
        <w:jc w:val="both"/>
        <w:rPr>
          <w:sz w:val="22"/>
          <w:szCs w:val="25"/>
        </w:rPr>
      </w:pPr>
      <w:r w:rsidRPr="00C31DA1">
        <w:rPr>
          <w:sz w:val="22"/>
          <w:szCs w:val="25"/>
        </w:rPr>
        <w:t xml:space="preserve">During volatile times, it is always wise to have realistic time horizons and return expectations for your own personal situation and to adjust your investments accordingly.  </w:t>
      </w:r>
    </w:p>
    <w:p w14:paraId="43FD2818" w14:textId="781C63E4" w:rsidR="00542BCA" w:rsidRPr="00F40D04" w:rsidRDefault="00542BCA" w:rsidP="00CD1E6B">
      <w:pPr>
        <w:spacing w:line="240" w:lineRule="auto"/>
        <w:jc w:val="center"/>
        <w:rPr>
          <w:rFonts w:eastAsia="Times New Roman" w:cstheme="minorHAnsi"/>
          <w:sz w:val="26"/>
          <w:szCs w:val="26"/>
        </w:rPr>
      </w:pPr>
      <w:r w:rsidRPr="00F40D04">
        <w:rPr>
          <w:rFonts w:cstheme="minorHAnsi"/>
          <w:b/>
          <w:color w:val="002060"/>
          <w:sz w:val="26"/>
          <w:szCs w:val="26"/>
        </w:rPr>
        <w:t xml:space="preserve">Now is the time to make sure you are </w:t>
      </w:r>
      <w:r w:rsidRPr="00F40D04">
        <w:rPr>
          <w:rFonts w:cstheme="minorHAnsi"/>
          <w:b/>
          <w:color w:val="BF8F00" w:themeColor="accent4" w:themeShade="BF"/>
          <w:sz w:val="26"/>
          <w:szCs w:val="26"/>
        </w:rPr>
        <w:t>confident</w:t>
      </w:r>
      <w:r w:rsidR="006A751F" w:rsidRPr="00F40D04">
        <w:rPr>
          <w:rFonts w:cstheme="minorHAnsi"/>
          <w:b/>
          <w:color w:val="BF8F00" w:themeColor="accent4" w:themeShade="BF"/>
          <w:sz w:val="26"/>
          <w:szCs w:val="26"/>
        </w:rPr>
        <w:t xml:space="preserve">, comfortable </w:t>
      </w:r>
      <w:r w:rsidR="006A751F" w:rsidRPr="000B77C1">
        <w:rPr>
          <w:rFonts w:cstheme="minorHAnsi"/>
          <w:b/>
          <w:color w:val="002060"/>
          <w:sz w:val="26"/>
          <w:szCs w:val="26"/>
        </w:rPr>
        <w:t>and</w:t>
      </w:r>
      <w:r w:rsidR="006A751F" w:rsidRPr="00F40D04">
        <w:rPr>
          <w:rFonts w:cstheme="minorHAnsi"/>
          <w:b/>
          <w:color w:val="BF8F00" w:themeColor="accent4" w:themeShade="BF"/>
          <w:sz w:val="26"/>
          <w:szCs w:val="26"/>
        </w:rPr>
        <w:t xml:space="preserve"> consistent</w:t>
      </w:r>
      <w:r w:rsidRPr="00F40D04">
        <w:rPr>
          <w:rFonts w:cstheme="minorHAnsi"/>
          <w:b/>
          <w:color w:val="BF8F00" w:themeColor="accent4" w:themeShade="BF"/>
          <w:sz w:val="26"/>
          <w:szCs w:val="26"/>
        </w:rPr>
        <w:t xml:space="preserve"> </w:t>
      </w:r>
      <w:r w:rsidRPr="00F40D04">
        <w:rPr>
          <w:rFonts w:cstheme="minorHAnsi"/>
          <w:b/>
          <w:color w:val="002060"/>
          <w:sz w:val="26"/>
          <w:szCs w:val="26"/>
        </w:rPr>
        <w:t xml:space="preserve">with your </w:t>
      </w:r>
      <w:r w:rsidR="000A7F60" w:rsidRPr="00F40D04">
        <w:rPr>
          <w:rFonts w:cstheme="minorHAnsi"/>
          <w:b/>
          <w:color w:val="002060"/>
          <w:sz w:val="26"/>
          <w:szCs w:val="26"/>
        </w:rPr>
        <w:t>plan</w:t>
      </w:r>
      <w:r w:rsidRPr="00F40D04">
        <w:rPr>
          <w:rFonts w:cstheme="minorHAnsi"/>
          <w:b/>
          <w:color w:val="002060"/>
          <w:sz w:val="26"/>
          <w:szCs w:val="26"/>
        </w:rPr>
        <w:t>.</w:t>
      </w:r>
    </w:p>
    <w:p w14:paraId="71F05EA6" w14:textId="7E5FF1F7" w:rsidR="00542BCA" w:rsidRPr="00C31DA1" w:rsidRDefault="000B77C1" w:rsidP="00C33B54">
      <w:pPr>
        <w:pStyle w:val="NormalWeb"/>
        <w:spacing w:after="0"/>
        <w:jc w:val="both"/>
        <w:rPr>
          <w:sz w:val="22"/>
          <w:szCs w:val="25"/>
        </w:rPr>
      </w:pPr>
      <w:r w:rsidRPr="00C31DA1">
        <w:rPr>
          <w:noProof/>
          <w:sz w:val="22"/>
          <w:szCs w:val="25"/>
        </w:rPr>
        <mc:AlternateContent>
          <mc:Choice Requires="wps">
            <w:drawing>
              <wp:anchor distT="45720" distB="45720" distL="114300" distR="114300" simplePos="0" relativeHeight="251744768" behindDoc="0" locked="0" layoutInCell="1" allowOverlap="1" wp14:anchorId="30911E0C" wp14:editId="464015D4">
                <wp:simplePos x="0" y="0"/>
                <wp:positionH relativeFrom="column">
                  <wp:posOffset>-29210</wp:posOffset>
                </wp:positionH>
                <wp:positionV relativeFrom="paragraph">
                  <wp:posOffset>399415</wp:posOffset>
                </wp:positionV>
                <wp:extent cx="3346450" cy="10433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043305"/>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1E0C" id="_x0000_t202" coordsize="21600,21600" o:spt="202" path="m,l,21600r21600,l21600,xe">
                <v:stroke joinstyle="miter"/>
                <v:path gradientshapeok="t" o:connecttype="rect"/>
              </v:shapetype>
              <v:shape id="Text Box 2" o:spid="_x0000_s1026" type="#_x0000_t202" style="position:absolute;left:0;text-align:left;margin-left:-2.3pt;margin-top:31.45pt;width:263.5pt;height:82.1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" fillcolor="#d8d8d8 [2732]" strokecolor="#ffd966 [1943]" strokeweight="1.5pt">
                <v:textbo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v:textbox>
                <w10:wrap type="square"/>
              </v:shape>
            </w:pict>
          </mc:Fallback>
        </mc:AlternateContent>
      </w:r>
      <w:r w:rsidR="00542BCA" w:rsidRPr="00C31DA1">
        <w:rPr>
          <w:sz w:val="22"/>
          <w:szCs w:val="25"/>
        </w:rPr>
        <w:t>Remember the words of</w:t>
      </w:r>
      <w:r w:rsidR="003472D7" w:rsidRPr="00C31DA1">
        <w:rPr>
          <w:sz w:val="22"/>
          <w:szCs w:val="25"/>
        </w:rPr>
        <w:t xml:space="preserve"> legendary investor</w:t>
      </w:r>
      <w:r w:rsidR="00542BCA" w:rsidRPr="00C31DA1">
        <w:rPr>
          <w:sz w:val="22"/>
          <w:szCs w:val="25"/>
        </w:rPr>
        <w:t xml:space="preserve"> Jack Bogle: </w:t>
      </w:r>
    </w:p>
    <w:p w14:paraId="24119D40" w14:textId="3C21844C" w:rsidR="00542BCA" w:rsidRPr="000B77C1" w:rsidRDefault="00542BCA" w:rsidP="003472D7">
      <w:pPr>
        <w:pStyle w:val="NormalWeb"/>
        <w:spacing w:after="0"/>
        <w:jc w:val="both"/>
        <w:rPr>
          <w:rFonts w:asciiTheme="minorHAnsi" w:hAnsiTheme="minorHAnsi" w:cstheme="minorHAnsi"/>
          <w:b/>
          <w:bCs/>
          <w:i/>
          <w:iCs/>
          <w:color w:val="3B3838" w:themeColor="background2" w:themeShade="40"/>
          <w:sz w:val="22"/>
        </w:rPr>
      </w:pPr>
      <w:r w:rsidRPr="000B77C1">
        <w:rPr>
          <w:b/>
          <w:bCs/>
          <w:sz w:val="22"/>
          <w:szCs w:val="25"/>
        </w:rPr>
        <w:t xml:space="preserve">A financial plan is only as good as your ability to consistently follow it. </w:t>
      </w:r>
    </w:p>
    <w:p w14:paraId="52CA5A8B" w14:textId="799619EC" w:rsidR="00542BCA" w:rsidRPr="00D30540" w:rsidRDefault="00542BCA" w:rsidP="00F12B31">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32"/>
          <w:szCs w:val="30"/>
          <w:lang w:bidi="en-US"/>
        </w:rPr>
      </w:pPr>
      <w:r w:rsidRPr="00D30540">
        <w:rPr>
          <w:rFonts w:asciiTheme="minorHAnsi" w:eastAsiaTheme="minorHAnsi" w:hAnsiTheme="minorHAnsi" w:cstheme="minorHAnsi"/>
          <w:b/>
          <w:color w:val="1F3864" w:themeColor="accent5" w:themeShade="80"/>
          <w:sz w:val="32"/>
          <w:szCs w:val="30"/>
          <w:lang w:bidi="en-US"/>
        </w:rPr>
        <w:t>We are here for you!</w:t>
      </w:r>
    </w:p>
    <w:p w14:paraId="034E3FF8" w14:textId="260EEEF8" w:rsidR="00542BCA" w:rsidRPr="00C31DA1" w:rsidRDefault="00542BCA" w:rsidP="006A751F">
      <w:pPr>
        <w:pStyle w:val="NormalWeb"/>
        <w:spacing w:after="0"/>
        <w:jc w:val="both"/>
        <w:rPr>
          <w:sz w:val="22"/>
          <w:szCs w:val="25"/>
        </w:rPr>
      </w:pPr>
      <w:r w:rsidRPr="00C31DA1">
        <w:rPr>
          <w:sz w:val="22"/>
          <w:szCs w:val="25"/>
        </w:rPr>
        <w:t>Our advice is not one-size-fits-all. We will always consider your feelings about risk and the markets and review your unique financial situation when making recommendations. If you would like to revisit your specific holdings or risk tolerance, please call our office or bring it up at our next scheduled meeting.</w:t>
      </w:r>
      <w:r w:rsidR="000A7F60" w:rsidRPr="00C31DA1">
        <w:rPr>
          <w:sz w:val="22"/>
          <w:szCs w:val="25"/>
        </w:rPr>
        <w:t xml:space="preserve">  If you ever have any concerns or questions, please contact us!</w:t>
      </w:r>
    </w:p>
    <w:p w14:paraId="6BF8B0AF" w14:textId="2B6824F9" w:rsidR="00542BCA" w:rsidRPr="00C31DA1" w:rsidRDefault="00542BCA" w:rsidP="003472D7">
      <w:pPr>
        <w:pStyle w:val="NormalWeb"/>
        <w:spacing w:before="0" w:beforeAutospacing="0" w:after="0" w:afterAutospacing="0"/>
        <w:jc w:val="both"/>
        <w:textAlignment w:val="baseline"/>
        <w:rPr>
          <w:rFonts w:eastAsiaTheme="minorHAnsi"/>
          <w:b/>
          <w:szCs w:val="25"/>
        </w:rPr>
      </w:pPr>
      <w:r w:rsidRPr="00C31DA1">
        <w:rPr>
          <w:rFonts w:eastAsiaTheme="minorHAnsi"/>
          <w:b/>
          <w:szCs w:val="25"/>
        </w:rPr>
        <w:t xml:space="preserve">We pride ourselves in offering:  </w:t>
      </w:r>
    </w:p>
    <w:p w14:paraId="3E9F0E21" w14:textId="15D5F950" w:rsidR="00542BCA" w:rsidRPr="00C31DA1" w:rsidRDefault="00542BCA" w:rsidP="003472D7">
      <w:pPr>
        <w:pStyle w:val="NormalWeb"/>
        <w:numPr>
          <w:ilvl w:val="0"/>
          <w:numId w:val="28"/>
        </w:numPr>
        <w:spacing w:before="0" w:beforeAutospacing="0" w:after="0"/>
        <w:jc w:val="both"/>
        <w:rPr>
          <w:sz w:val="22"/>
          <w:szCs w:val="25"/>
        </w:rPr>
      </w:pPr>
      <w:r w:rsidRPr="00C31DA1">
        <w:rPr>
          <w:sz w:val="22"/>
          <w:szCs w:val="25"/>
        </w:rPr>
        <w:t xml:space="preserve">consistent and strong communication, </w:t>
      </w:r>
    </w:p>
    <w:p w14:paraId="76EDEFC3" w14:textId="3F55B545" w:rsidR="00542BCA" w:rsidRPr="00C31DA1" w:rsidRDefault="00542BCA" w:rsidP="003472D7">
      <w:pPr>
        <w:pStyle w:val="NormalWeb"/>
        <w:numPr>
          <w:ilvl w:val="0"/>
          <w:numId w:val="28"/>
        </w:numPr>
        <w:spacing w:after="0"/>
        <w:jc w:val="both"/>
        <w:rPr>
          <w:sz w:val="22"/>
          <w:szCs w:val="25"/>
        </w:rPr>
      </w:pPr>
      <w:r w:rsidRPr="00C31DA1">
        <w:rPr>
          <w:sz w:val="22"/>
          <w:szCs w:val="25"/>
        </w:rPr>
        <w:t>a schedule of regular client meetings, and</w:t>
      </w:r>
    </w:p>
    <w:p w14:paraId="16A94FFE" w14:textId="66CD9D69" w:rsidR="00542BCA" w:rsidRPr="00C31DA1" w:rsidRDefault="00542BCA" w:rsidP="003472D7">
      <w:pPr>
        <w:pStyle w:val="NormalWeb"/>
        <w:numPr>
          <w:ilvl w:val="0"/>
          <w:numId w:val="28"/>
        </w:numPr>
        <w:spacing w:after="0"/>
        <w:jc w:val="both"/>
        <w:rPr>
          <w:sz w:val="22"/>
          <w:szCs w:val="25"/>
        </w:rPr>
      </w:pPr>
      <w:r w:rsidRPr="00C31DA1">
        <w:rPr>
          <w:sz w:val="22"/>
          <w:szCs w:val="25"/>
        </w:rPr>
        <w:t xml:space="preserve">continuing education for every member of our team on the issues that affect our clients. </w:t>
      </w:r>
    </w:p>
    <w:p w14:paraId="786E8A74" w14:textId="6CB62B6F" w:rsidR="00E7145D" w:rsidRPr="00C31DA1" w:rsidRDefault="00542BCA" w:rsidP="00AF2007">
      <w:pPr>
        <w:pStyle w:val="NormalWeb"/>
        <w:spacing w:after="0"/>
        <w:jc w:val="both"/>
        <w:rPr>
          <w:b/>
          <w:bCs/>
          <w:sz w:val="23"/>
          <w:szCs w:val="23"/>
        </w:rPr>
        <w:sectPr w:rsidR="00E7145D" w:rsidRPr="00C31DA1" w:rsidSect="006A751F">
          <w:type w:val="continuous"/>
          <w:pgSz w:w="12240" w:h="15840"/>
          <w:pgMar w:top="990" w:right="540" w:bottom="990" w:left="630" w:header="720" w:footer="246" w:gutter="0"/>
          <w:cols w:num="2" w:space="450"/>
          <w:docGrid w:linePitch="360"/>
        </w:sectPr>
      </w:pPr>
      <w:r w:rsidRPr="00C31DA1">
        <w:rPr>
          <w:b/>
          <w:sz w:val="23"/>
          <w:szCs w:val="23"/>
        </w:rPr>
        <w:t>A skilled financial advisor can help make your journey easier.  Our goal is to understand our clients’ needs and then try to create a plan to address those needs</w:t>
      </w:r>
      <w:r w:rsidR="003472D7" w:rsidRPr="00C31DA1">
        <w:rPr>
          <w:b/>
          <w:sz w:val="23"/>
          <w:szCs w:val="23"/>
        </w:rPr>
        <w:t xml:space="preserve">. </w:t>
      </w:r>
      <w:r w:rsidR="00555748" w:rsidRPr="00C31DA1">
        <w:rPr>
          <w:b/>
          <w:bCs/>
          <w:sz w:val="23"/>
          <w:szCs w:val="23"/>
        </w:rPr>
        <w:t>Again, i</w:t>
      </w:r>
      <w:r w:rsidR="003472D7" w:rsidRPr="00C31DA1">
        <w:rPr>
          <w:b/>
          <w:bCs/>
          <w:sz w:val="23"/>
          <w:szCs w:val="23"/>
        </w:rPr>
        <w:t>f you are concerned with your investments or goals, or your risk tolerance levels have changed, please call us and we would be happy to discuss these with yo</w:t>
      </w:r>
      <w:r w:rsidR="00AF2007" w:rsidRPr="00C31DA1">
        <w:rPr>
          <w:b/>
          <w:bCs/>
          <w:sz w:val="23"/>
          <w:szCs w:val="23"/>
        </w:rPr>
        <w:t>u.</w:t>
      </w:r>
    </w:p>
    <w:p w14:paraId="37CF8FCB" w14:textId="5E94BB40" w:rsidR="000A7F60" w:rsidRDefault="00F40D04"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r w:rsidRPr="00D26D7C">
        <w:rPr>
          <w:rFonts w:cstheme="minorHAnsi"/>
          <w:noProof/>
          <w:color w:val="948A54"/>
          <w:sz w:val="14"/>
          <w:szCs w:val="16"/>
        </w:rPr>
        <mc:AlternateContent>
          <mc:Choice Requires="wps">
            <w:drawing>
              <wp:anchor distT="45720" distB="45720" distL="114300" distR="114300" simplePos="0" relativeHeight="251731456" behindDoc="1" locked="0" layoutInCell="1" allowOverlap="1" wp14:anchorId="10182207" wp14:editId="0AE06A0F">
                <wp:simplePos x="0" y="0"/>
                <wp:positionH relativeFrom="column">
                  <wp:posOffset>-85725</wp:posOffset>
                </wp:positionH>
                <wp:positionV relativeFrom="paragraph">
                  <wp:posOffset>118745</wp:posOffset>
                </wp:positionV>
                <wp:extent cx="7086600" cy="1076325"/>
                <wp:effectExtent l="0" t="0" r="0" b="9525"/>
                <wp:wrapTight wrapText="bothSides">
                  <wp:wrapPolygon edited="0">
                    <wp:start x="0" y="0"/>
                    <wp:lineTo x="0" y="21409"/>
                    <wp:lineTo x="21542" y="21409"/>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76325"/>
                        </a:xfrm>
                        <a:prstGeom prst="rect">
                          <a:avLst/>
                        </a:prstGeom>
                        <a:solidFill>
                          <a:schemeClr val="bg1">
                            <a:lumMod val="85000"/>
                          </a:schemeClr>
                        </a:solidFill>
                        <a:ln w="9525">
                          <a:noFill/>
                          <a:miter lim="800000"/>
                          <a:headEnd/>
                          <a:tailEnd/>
                        </a:ln>
                        <a:effectLst/>
                      </wps:spPr>
                      <wps:txbx>
                        <w:txbxContent>
                          <w:p w14:paraId="5E5172D3" w14:textId="77777777" w:rsidR="002A5490" w:rsidRPr="002A5490" w:rsidRDefault="002A5490" w:rsidP="002A5490">
                            <w:pPr>
                              <w:pStyle w:val="Footer"/>
                              <w:tabs>
                                <w:tab w:val="clear" w:pos="4680"/>
                              </w:tabs>
                              <w:ind w:right="1"/>
                              <w:jc w:val="center"/>
                              <w:rPr>
                                <w:b/>
                                <w:i/>
                                <w:color w:val="0070C0"/>
                                <w:sz w:val="28"/>
                              </w:rPr>
                            </w:pPr>
                            <w:r w:rsidRPr="002A5490">
                              <w:rPr>
                                <w:b/>
                                <w:i/>
                                <w:color w:val="0070C0"/>
                                <w:sz w:val="36"/>
                                <w:szCs w:val="28"/>
                              </w:rPr>
                              <w:t>Complimentary Financial Check-up</w:t>
                            </w:r>
                          </w:p>
                          <w:p w14:paraId="75AEFD63" w14:textId="77777777" w:rsidR="002A5490" w:rsidRPr="002A5490" w:rsidRDefault="002A5490" w:rsidP="002A5490">
                            <w:pPr>
                              <w:pStyle w:val="Footer"/>
                              <w:ind w:right="75"/>
                              <w:jc w:val="center"/>
                              <w:rPr>
                                <w:bCs/>
                                <w:color w:val="171717" w:themeColor="background2" w:themeShade="1A"/>
                                <w:szCs w:val="28"/>
                              </w:rPr>
                            </w:pPr>
                            <w:r w:rsidRPr="002A5490">
                              <w:rPr>
                                <w:bCs/>
                                <w:color w:val="000000" w:themeColor="text1"/>
                                <w:sz w:val="6"/>
                                <w:szCs w:val="27"/>
                              </w:rPr>
                              <w:br/>
                            </w:r>
                            <w:r w:rsidRPr="002A5490">
                              <w:rPr>
                                <w:bCs/>
                                <w:color w:val="171717" w:themeColor="background2" w:themeShade="1A"/>
                                <w:szCs w:val="28"/>
                              </w:rPr>
                              <w:t xml:space="preserve">If you are currently not a client of </w:t>
                            </w:r>
                            <w:r w:rsidRPr="002A5490">
                              <w:rPr>
                                <w:bCs/>
                                <w:color w:val="171717" w:themeColor="background2" w:themeShade="1A"/>
                                <w:szCs w:val="28"/>
                                <w:highlight w:val="yellow"/>
                              </w:rPr>
                              <w:t>Your Company</w:t>
                            </w:r>
                            <w:r w:rsidRPr="002A5490">
                              <w:rPr>
                                <w:bCs/>
                                <w:color w:val="171717" w:themeColor="background2" w:themeShade="1A"/>
                                <w:szCs w:val="28"/>
                              </w:rPr>
                              <w:t xml:space="preserve"> </w:t>
                            </w:r>
                            <w:r w:rsidRPr="002A5490">
                              <w:rPr>
                                <w:bCs/>
                                <w:color w:val="171717" w:themeColor="background2" w:themeShade="1A"/>
                                <w:szCs w:val="28"/>
                                <w:highlight w:val="yellow"/>
                              </w:rPr>
                              <w:t>Name,</w:t>
                            </w:r>
                            <w:r w:rsidRPr="002A5490">
                              <w:rPr>
                                <w:bCs/>
                                <w:color w:val="171717" w:themeColor="background2" w:themeShade="1A"/>
                                <w:szCs w:val="28"/>
                              </w:rPr>
                              <w:t xml:space="preserve"> we would like to offer you a complimentary, one-hour, private consultation with one of our professionals at absolutely no cost or obligation to you. To schedule your financial check-up, please call </w:t>
                            </w:r>
                            <w:r w:rsidRPr="002A5490">
                              <w:rPr>
                                <w:bCs/>
                                <w:color w:val="171717" w:themeColor="background2" w:themeShade="1A"/>
                                <w:szCs w:val="28"/>
                                <w:highlight w:val="yellow"/>
                              </w:rPr>
                              <w:t xml:space="preserve">Contact name and information </w:t>
                            </w:r>
                            <w:r w:rsidRPr="002A5490">
                              <w:rPr>
                                <w:bCs/>
                                <w:color w:val="171717" w:themeColor="background2" w:themeShade="1A"/>
                                <w:szCs w:val="28"/>
                              </w:rPr>
                              <w:t>and we’d be happy to assist.</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6.75pt;margin-top:9.35pt;width:558pt;height:84.75pt;z-index:-25158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" fillcolor="#d8d8d8 [2732]" stroked="f">
                <v:textbox>
                  <w:txbxContent>
                    <w:p w14:paraId="5E5172D3" w14:textId="77777777" w:rsidR="002A5490" w:rsidRPr="002A5490" w:rsidRDefault="002A5490" w:rsidP="002A5490">
                      <w:pPr>
                        <w:pStyle w:val="Footer"/>
                        <w:tabs>
                          <w:tab w:val="clear" w:pos="4680"/>
                        </w:tabs>
                        <w:ind w:right="1"/>
                        <w:jc w:val="center"/>
                        <w:rPr>
                          <w:b/>
                          <w:i/>
                          <w:color w:val="0070C0"/>
                          <w:sz w:val="28"/>
                        </w:rPr>
                      </w:pPr>
                      <w:r w:rsidRPr="002A5490">
                        <w:rPr>
                          <w:b/>
                          <w:i/>
                          <w:color w:val="0070C0"/>
                          <w:sz w:val="36"/>
                          <w:szCs w:val="28"/>
                        </w:rPr>
                        <w:t>Complimentary Financial Check-up</w:t>
                      </w:r>
                    </w:p>
                    <w:p w14:paraId="75AEFD63" w14:textId="77777777" w:rsidR="002A5490" w:rsidRPr="002A5490" w:rsidRDefault="002A5490" w:rsidP="002A5490">
                      <w:pPr>
                        <w:pStyle w:val="Footer"/>
                        <w:ind w:right="75"/>
                        <w:jc w:val="center"/>
                        <w:rPr>
                          <w:bCs/>
                          <w:color w:val="171717" w:themeColor="background2" w:themeShade="1A"/>
                          <w:szCs w:val="28"/>
                        </w:rPr>
                      </w:pPr>
                      <w:r w:rsidRPr="002A5490">
                        <w:rPr>
                          <w:bCs/>
                          <w:color w:val="000000" w:themeColor="text1"/>
                          <w:sz w:val="6"/>
                          <w:szCs w:val="27"/>
                        </w:rPr>
                        <w:br/>
                      </w:r>
                      <w:r w:rsidRPr="002A5490">
                        <w:rPr>
                          <w:bCs/>
                          <w:color w:val="171717" w:themeColor="background2" w:themeShade="1A"/>
                          <w:szCs w:val="28"/>
                        </w:rPr>
                        <w:t xml:space="preserve">If you are currently not a client of </w:t>
                      </w:r>
                      <w:r w:rsidRPr="002A5490">
                        <w:rPr>
                          <w:bCs/>
                          <w:color w:val="171717" w:themeColor="background2" w:themeShade="1A"/>
                          <w:szCs w:val="28"/>
                          <w:highlight w:val="yellow"/>
                        </w:rPr>
                        <w:t>Your Company</w:t>
                      </w:r>
                      <w:r w:rsidRPr="002A5490">
                        <w:rPr>
                          <w:bCs/>
                          <w:color w:val="171717" w:themeColor="background2" w:themeShade="1A"/>
                          <w:szCs w:val="28"/>
                        </w:rPr>
                        <w:t xml:space="preserve"> </w:t>
                      </w:r>
                      <w:r w:rsidRPr="002A5490">
                        <w:rPr>
                          <w:bCs/>
                          <w:color w:val="171717" w:themeColor="background2" w:themeShade="1A"/>
                          <w:szCs w:val="28"/>
                          <w:highlight w:val="yellow"/>
                        </w:rPr>
                        <w:t>Name,</w:t>
                      </w:r>
                      <w:r w:rsidRPr="002A5490">
                        <w:rPr>
                          <w:bCs/>
                          <w:color w:val="171717" w:themeColor="background2" w:themeShade="1A"/>
                          <w:szCs w:val="28"/>
                        </w:rPr>
                        <w:t xml:space="preserve"> we would like to offer you a complimentary, one-hour, private consultation with one of our professionals at absolutely no cost or obligation to you. To schedule your financial check-up, please call </w:t>
                      </w:r>
                      <w:r w:rsidRPr="002A5490">
                        <w:rPr>
                          <w:bCs/>
                          <w:color w:val="171717" w:themeColor="background2" w:themeShade="1A"/>
                          <w:szCs w:val="28"/>
                          <w:highlight w:val="yellow"/>
                        </w:rPr>
                        <w:t xml:space="preserve">Contact name and information </w:t>
                      </w:r>
                      <w:r w:rsidRPr="002A5490">
                        <w:rPr>
                          <w:bCs/>
                          <w:color w:val="171717" w:themeColor="background2" w:themeShade="1A"/>
                          <w:szCs w:val="28"/>
                        </w:rPr>
                        <w:t>and we’d be happy to assist.</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v:textbox>
                <w10:wrap type="tight"/>
              </v:shape>
            </w:pict>
          </mc:Fallback>
        </mc:AlternateContent>
      </w:r>
    </w:p>
    <w:p w14:paraId="27A4D6B1" w14:textId="77777777" w:rsidR="00832659" w:rsidRPr="00B706D7" w:rsidRDefault="00832659" w:rsidP="00AF2007">
      <w:pPr>
        <w:spacing w:after="0" w:line="240" w:lineRule="auto"/>
        <w:ind w:right="-180"/>
        <w:rPr>
          <w:rFonts w:eastAsia="Calibri" w:cstheme="minorHAnsi"/>
          <w:color w:val="3B3838" w:themeColor="background2" w:themeShade="40"/>
          <w:spacing w:val="-10"/>
          <w:sz w:val="6"/>
          <w:szCs w:val="20"/>
          <w:highlight w:val="yellow"/>
        </w:rPr>
      </w:pPr>
    </w:p>
    <w:p w14:paraId="493BA897" w14:textId="77777777" w:rsidR="00832659" w:rsidRPr="00AF2007" w:rsidRDefault="00832659" w:rsidP="00542BCA">
      <w:pPr>
        <w:spacing w:after="0" w:line="240" w:lineRule="auto"/>
        <w:ind w:right="-180"/>
        <w:jc w:val="center"/>
        <w:rPr>
          <w:rFonts w:eastAsia="Calibri" w:cstheme="minorHAnsi"/>
          <w:color w:val="3B3838" w:themeColor="background2" w:themeShade="40"/>
          <w:spacing w:val="-10"/>
          <w:sz w:val="18"/>
          <w:szCs w:val="20"/>
          <w:highlight w:val="yellow"/>
        </w:rPr>
      </w:pPr>
    </w:p>
    <w:p w14:paraId="51C7012F" w14:textId="79CD04BC" w:rsidR="00542BCA" w:rsidRPr="00AF2007" w:rsidRDefault="00542BCA" w:rsidP="00542BCA">
      <w:pPr>
        <w:spacing w:after="0" w:line="240" w:lineRule="auto"/>
        <w:ind w:right="-180"/>
        <w:jc w:val="center"/>
        <w:rPr>
          <w:rFonts w:eastAsia="Calibri" w:cstheme="minorHAnsi"/>
          <w:color w:val="3B3838" w:themeColor="background2" w:themeShade="40"/>
          <w:spacing w:val="-10"/>
          <w:sz w:val="18"/>
          <w:szCs w:val="20"/>
          <w:highlight w:val="yellow"/>
        </w:rPr>
      </w:pPr>
      <w:r w:rsidRPr="00AF2007">
        <w:rPr>
          <w:rFonts w:eastAsia="Calibri" w:cstheme="minorHAnsi"/>
          <w:color w:val="3B3838" w:themeColor="background2" w:themeShade="40"/>
          <w:spacing w:val="-10"/>
          <w:sz w:val="18"/>
          <w:szCs w:val="20"/>
          <w:highlight w:val="yellow"/>
        </w:rPr>
        <w:t>Insert Approved B/D/ Disclaimer Here</w:t>
      </w:r>
      <w:r w:rsidRPr="00AF2007">
        <w:rPr>
          <w:rFonts w:eastAsia="Calibri" w:cstheme="minorHAnsi"/>
          <w:color w:val="3B3838" w:themeColor="background2" w:themeShade="40"/>
          <w:spacing w:val="-10"/>
          <w:sz w:val="18"/>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63E74660" w14:textId="77777777" w:rsidR="0045576C"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 xml:space="preserve">Note: The views stated in this letter are not necessarily the opinion of </w:t>
      </w:r>
      <w:r w:rsidRPr="00AF2007">
        <w:rPr>
          <w:rFonts w:eastAsia="Calibri" w:cstheme="minorHAnsi"/>
          <w:snapToGrid w:val="0"/>
          <w:color w:val="3B3838" w:themeColor="background2" w:themeShade="40"/>
          <w:sz w:val="16"/>
          <w:szCs w:val="16"/>
          <w:highlight w:val="yellow"/>
        </w:rPr>
        <w:t>broker/dealer.,</w:t>
      </w:r>
      <w:r w:rsidRPr="00AF2007">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AF2007">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Past performance is no guarantee of future results. CD’s are FDIC Insured and offer a fixed rate of return if held to maturity. An investment in the Fund is not insured or guaranteed by the Federal Deposit Insurance Corporation or any other government agency. Although the Fund seeks to preserve the value of your investment at $1.00 per share, it is possible to lose money by investing in the Fund. Due to volatility within the markets mentioned, opinions are subject to change without notice. Information is based on sources believed to be reliable; however, their accuracy or completeness cannot be guaranteed.</w:t>
      </w:r>
      <w:r w:rsidR="0045576C" w:rsidRPr="00AF2007">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AF2007">
        <w:rPr>
          <w:rFonts w:eastAsia="Calibri" w:cstheme="minorHAnsi"/>
          <w:snapToGrid w:val="0"/>
          <w:color w:val="3B3838" w:themeColor="background2" w:themeShade="40"/>
          <w:sz w:val="16"/>
          <w:szCs w:val="16"/>
        </w:rPr>
        <w:t xml:space="preserve"> </w:t>
      </w:r>
    </w:p>
    <w:p w14:paraId="25086B26" w14:textId="085299E9" w:rsidR="000A7F60" w:rsidRPr="00AF2007" w:rsidRDefault="000A7F60" w:rsidP="00AF2007">
      <w:pPr>
        <w:spacing w:before="60" w:after="60" w:line="240" w:lineRule="auto"/>
        <w:ind w:right="-187"/>
        <w:contextualSpacing/>
        <w:jc w:val="both"/>
        <w:rPr>
          <w:rFonts w:eastAsia="Calibri" w:cstheme="minorHAnsi"/>
          <w:snapToGrid w:val="0"/>
          <w:color w:val="3B3838" w:themeColor="background2" w:themeShade="40"/>
          <w:sz w:val="16"/>
          <w:szCs w:val="16"/>
        </w:rPr>
        <w:sectPr w:rsidR="000A7F60" w:rsidRPr="00AF2007" w:rsidSect="000A7F60">
          <w:type w:val="continuous"/>
          <w:pgSz w:w="12240" w:h="15840"/>
          <w:pgMar w:top="990" w:right="540" w:bottom="990" w:left="630" w:header="720" w:footer="246" w:gutter="0"/>
          <w:cols w:space="450"/>
          <w:docGrid w:linePitch="360"/>
        </w:sectPr>
      </w:pPr>
    </w:p>
    <w:p w14:paraId="0D06634E" w14:textId="6C0CD527" w:rsidR="00542BCA"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p>
    <w:p w14:paraId="4063E86E" w14:textId="77777777" w:rsidR="00D70D51" w:rsidRPr="00AF2007" w:rsidRDefault="00D70D51" w:rsidP="00D70D51">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Sources:</w:t>
      </w:r>
      <w:r>
        <w:rPr>
          <w:rFonts w:eastAsia="Calibri" w:cstheme="minorHAnsi"/>
          <w:snapToGrid w:val="0"/>
          <w:color w:val="3B3838" w:themeColor="background2" w:themeShade="40"/>
          <w:sz w:val="16"/>
          <w:szCs w:val="16"/>
        </w:rPr>
        <w:t xml:space="preserve"> yahoofinance.com; Morningstar.com; Barron’s; bigcharts.com; marketwatch.com; foxbusiness.com; Bloomberg.com; cnbc.com; CNNBusiness.com</w:t>
      </w:r>
    </w:p>
    <w:p w14:paraId="3F0ED14D" w14:textId="18C132E4" w:rsidR="00E7145D" w:rsidRPr="00AF2007" w:rsidRDefault="00E7145D" w:rsidP="000A7F60">
      <w:pPr>
        <w:spacing w:before="60" w:after="60" w:line="240" w:lineRule="auto"/>
        <w:ind w:right="-187"/>
        <w:contextualSpacing/>
        <w:jc w:val="both"/>
        <w:rPr>
          <w:rFonts w:eastAsia="Calibri" w:cstheme="minorHAnsi"/>
          <w:snapToGrid w:val="0"/>
          <w:color w:val="3B3838" w:themeColor="background2" w:themeShade="40"/>
          <w:sz w:val="16"/>
          <w:szCs w:val="16"/>
        </w:rPr>
      </w:pPr>
      <w:bookmarkStart w:id="0" w:name="_GoBack"/>
      <w:bookmarkEnd w:id="0"/>
    </w:p>
    <w:p w14:paraId="22CC9794" w14:textId="60BCF305" w:rsidR="00542BCA" w:rsidRPr="00AF2007" w:rsidRDefault="00542BCA" w:rsidP="000A7F60">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64842A96" w14:textId="56F9165A"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3CEE" w14:textId="77777777" w:rsidR="00556C15" w:rsidRDefault="00556C15" w:rsidP="00F96DED">
      <w:pPr>
        <w:spacing w:after="0" w:line="240" w:lineRule="auto"/>
      </w:pPr>
      <w:r>
        <w:separator/>
      </w:r>
    </w:p>
  </w:endnote>
  <w:endnote w:type="continuationSeparator" w:id="0">
    <w:p w14:paraId="5E998BA9" w14:textId="77777777" w:rsidR="00556C15" w:rsidRDefault="00556C15"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140" w14:textId="77777777" w:rsidR="00556C15" w:rsidRDefault="00556C15" w:rsidP="00F96DED">
      <w:pPr>
        <w:spacing w:after="0" w:line="240" w:lineRule="auto"/>
      </w:pPr>
      <w:r>
        <w:separator/>
      </w:r>
    </w:p>
  </w:footnote>
  <w:footnote w:type="continuationSeparator" w:id="0">
    <w:p w14:paraId="73CA4CA6" w14:textId="77777777" w:rsidR="00556C15" w:rsidRDefault="00556C15"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7478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3EF6E96"/>
    <w:multiLevelType w:val="hybridMultilevel"/>
    <w:tmpl w:val="76842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268CE"/>
    <w:multiLevelType w:val="hybridMultilevel"/>
    <w:tmpl w:val="6D7A752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2"/>
  </w:num>
  <w:num w:numId="5">
    <w:abstractNumId w:val="22"/>
  </w:num>
  <w:num w:numId="6">
    <w:abstractNumId w:val="5"/>
  </w:num>
  <w:num w:numId="7">
    <w:abstractNumId w:val="8"/>
  </w:num>
  <w:num w:numId="8">
    <w:abstractNumId w:val="13"/>
  </w:num>
  <w:num w:numId="9">
    <w:abstractNumId w:val="25"/>
  </w:num>
  <w:num w:numId="10">
    <w:abstractNumId w:val="15"/>
  </w:num>
  <w:num w:numId="11">
    <w:abstractNumId w:val="7"/>
  </w:num>
  <w:num w:numId="12">
    <w:abstractNumId w:val="18"/>
  </w:num>
  <w:num w:numId="13">
    <w:abstractNumId w:val="2"/>
  </w:num>
  <w:num w:numId="14">
    <w:abstractNumId w:val="23"/>
  </w:num>
  <w:num w:numId="15">
    <w:abstractNumId w:val="21"/>
    <w:lvlOverride w:ilvl="0">
      <w:lvl w:ilvl="0">
        <w:numFmt w:val="decimal"/>
        <w:lvlText w:val="%1."/>
        <w:lvlJc w:val="left"/>
      </w:lvl>
    </w:lvlOverride>
  </w:num>
  <w:num w:numId="16">
    <w:abstractNumId w:val="24"/>
  </w:num>
  <w:num w:numId="17">
    <w:abstractNumId w:val="16"/>
  </w:num>
  <w:num w:numId="18">
    <w:abstractNumId w:val="17"/>
  </w:num>
  <w:num w:numId="19">
    <w:abstractNumId w:val="6"/>
  </w:num>
  <w:num w:numId="20">
    <w:abstractNumId w:val="14"/>
  </w:num>
  <w:num w:numId="21">
    <w:abstractNumId w:val="9"/>
  </w:num>
  <w:num w:numId="22">
    <w:abstractNumId w:val="1"/>
  </w:num>
  <w:num w:numId="23">
    <w:abstractNumId w:val="4"/>
  </w:num>
  <w:num w:numId="24">
    <w:abstractNumId w:val="20"/>
  </w:num>
  <w:num w:numId="25">
    <w:abstractNumId w:val="10"/>
  </w:num>
  <w:num w:numId="26">
    <w:abstractNumId w:val="27"/>
  </w:num>
  <w:num w:numId="27">
    <w:abstractNumId w:val="0"/>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29C0"/>
    <w:rsid w:val="00023FE8"/>
    <w:rsid w:val="00024375"/>
    <w:rsid w:val="000270A6"/>
    <w:rsid w:val="00027BF7"/>
    <w:rsid w:val="00032D50"/>
    <w:rsid w:val="00033129"/>
    <w:rsid w:val="0003332B"/>
    <w:rsid w:val="00046BBF"/>
    <w:rsid w:val="0004735A"/>
    <w:rsid w:val="00054214"/>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B77C1"/>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D0B36"/>
    <w:rsid w:val="001D4473"/>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31C1C"/>
    <w:rsid w:val="002345B3"/>
    <w:rsid w:val="00241CA1"/>
    <w:rsid w:val="00245B9E"/>
    <w:rsid w:val="0024601C"/>
    <w:rsid w:val="002460E3"/>
    <w:rsid w:val="00246215"/>
    <w:rsid w:val="00246EA7"/>
    <w:rsid w:val="0024701F"/>
    <w:rsid w:val="00251F91"/>
    <w:rsid w:val="002540CD"/>
    <w:rsid w:val="0026109C"/>
    <w:rsid w:val="002706B3"/>
    <w:rsid w:val="0027351A"/>
    <w:rsid w:val="00273BEE"/>
    <w:rsid w:val="00276CAC"/>
    <w:rsid w:val="0028482F"/>
    <w:rsid w:val="00292990"/>
    <w:rsid w:val="0029362C"/>
    <w:rsid w:val="0029731D"/>
    <w:rsid w:val="002A0290"/>
    <w:rsid w:val="002A1A2D"/>
    <w:rsid w:val="002A1C0E"/>
    <w:rsid w:val="002A40A9"/>
    <w:rsid w:val="002A5490"/>
    <w:rsid w:val="002A5DE2"/>
    <w:rsid w:val="002A60CB"/>
    <w:rsid w:val="002B4713"/>
    <w:rsid w:val="002B607B"/>
    <w:rsid w:val="002B6A32"/>
    <w:rsid w:val="002B6D20"/>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472D7"/>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E7A84"/>
    <w:rsid w:val="003F0401"/>
    <w:rsid w:val="003F0A22"/>
    <w:rsid w:val="003F7394"/>
    <w:rsid w:val="004015B1"/>
    <w:rsid w:val="00404BEA"/>
    <w:rsid w:val="004065DD"/>
    <w:rsid w:val="00410670"/>
    <w:rsid w:val="004114C1"/>
    <w:rsid w:val="00415758"/>
    <w:rsid w:val="00415ADC"/>
    <w:rsid w:val="0041611E"/>
    <w:rsid w:val="00416574"/>
    <w:rsid w:val="00417456"/>
    <w:rsid w:val="00424CE3"/>
    <w:rsid w:val="00433B92"/>
    <w:rsid w:val="00435C24"/>
    <w:rsid w:val="0043732A"/>
    <w:rsid w:val="00437919"/>
    <w:rsid w:val="00437D7B"/>
    <w:rsid w:val="00445F55"/>
    <w:rsid w:val="00451B10"/>
    <w:rsid w:val="004521EA"/>
    <w:rsid w:val="00453062"/>
    <w:rsid w:val="0045576C"/>
    <w:rsid w:val="00457B6F"/>
    <w:rsid w:val="00464776"/>
    <w:rsid w:val="00464CC3"/>
    <w:rsid w:val="00466C0F"/>
    <w:rsid w:val="00467899"/>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3F21"/>
    <w:rsid w:val="00514E06"/>
    <w:rsid w:val="0051727E"/>
    <w:rsid w:val="00520A64"/>
    <w:rsid w:val="0052350E"/>
    <w:rsid w:val="00532158"/>
    <w:rsid w:val="005419E9"/>
    <w:rsid w:val="00541C3E"/>
    <w:rsid w:val="00542BCA"/>
    <w:rsid w:val="005459C2"/>
    <w:rsid w:val="005471E5"/>
    <w:rsid w:val="00547D68"/>
    <w:rsid w:val="00553560"/>
    <w:rsid w:val="00555129"/>
    <w:rsid w:val="00555748"/>
    <w:rsid w:val="00556C15"/>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6A6"/>
    <w:rsid w:val="00696C22"/>
    <w:rsid w:val="00697FEC"/>
    <w:rsid w:val="006A53CC"/>
    <w:rsid w:val="006A751F"/>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051A"/>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AF2007"/>
    <w:rsid w:val="00B10F8F"/>
    <w:rsid w:val="00B12AE8"/>
    <w:rsid w:val="00B13B52"/>
    <w:rsid w:val="00B16E68"/>
    <w:rsid w:val="00B1762E"/>
    <w:rsid w:val="00B27F82"/>
    <w:rsid w:val="00B30688"/>
    <w:rsid w:val="00B311C3"/>
    <w:rsid w:val="00B31632"/>
    <w:rsid w:val="00B37F54"/>
    <w:rsid w:val="00B45A0A"/>
    <w:rsid w:val="00B47819"/>
    <w:rsid w:val="00B52EB3"/>
    <w:rsid w:val="00B55C39"/>
    <w:rsid w:val="00B60BB4"/>
    <w:rsid w:val="00B65A00"/>
    <w:rsid w:val="00B67962"/>
    <w:rsid w:val="00B706D7"/>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1DA1"/>
    <w:rsid w:val="00C33B54"/>
    <w:rsid w:val="00C346F8"/>
    <w:rsid w:val="00C36612"/>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1FF8"/>
    <w:rsid w:val="00CB3099"/>
    <w:rsid w:val="00CB368B"/>
    <w:rsid w:val="00CB6951"/>
    <w:rsid w:val="00CC13CC"/>
    <w:rsid w:val="00CD000A"/>
    <w:rsid w:val="00CD17A3"/>
    <w:rsid w:val="00CD1E6B"/>
    <w:rsid w:val="00CD6FE4"/>
    <w:rsid w:val="00CE1E2D"/>
    <w:rsid w:val="00D025F1"/>
    <w:rsid w:val="00D04359"/>
    <w:rsid w:val="00D04E0F"/>
    <w:rsid w:val="00D07C1E"/>
    <w:rsid w:val="00D14D28"/>
    <w:rsid w:val="00D14D99"/>
    <w:rsid w:val="00D235F4"/>
    <w:rsid w:val="00D30540"/>
    <w:rsid w:val="00D3715E"/>
    <w:rsid w:val="00D40FB0"/>
    <w:rsid w:val="00D431A3"/>
    <w:rsid w:val="00D43E0B"/>
    <w:rsid w:val="00D5016D"/>
    <w:rsid w:val="00D51E45"/>
    <w:rsid w:val="00D52A68"/>
    <w:rsid w:val="00D533A2"/>
    <w:rsid w:val="00D54209"/>
    <w:rsid w:val="00D57347"/>
    <w:rsid w:val="00D61B21"/>
    <w:rsid w:val="00D61F4F"/>
    <w:rsid w:val="00D66526"/>
    <w:rsid w:val="00D67BF7"/>
    <w:rsid w:val="00D70D51"/>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80158"/>
    <w:rsid w:val="00E80364"/>
    <w:rsid w:val="00E82C81"/>
    <w:rsid w:val="00E8448F"/>
    <w:rsid w:val="00E90CD2"/>
    <w:rsid w:val="00E936F0"/>
    <w:rsid w:val="00E941A8"/>
    <w:rsid w:val="00EA0489"/>
    <w:rsid w:val="00EA2287"/>
    <w:rsid w:val="00EA3CEF"/>
    <w:rsid w:val="00EA47B5"/>
    <w:rsid w:val="00EA4BB8"/>
    <w:rsid w:val="00EA4C4E"/>
    <w:rsid w:val="00EA695E"/>
    <w:rsid w:val="00EB0E77"/>
    <w:rsid w:val="00EB34A1"/>
    <w:rsid w:val="00EB3893"/>
    <w:rsid w:val="00EB3EAE"/>
    <w:rsid w:val="00EC6B76"/>
    <w:rsid w:val="00ED23FA"/>
    <w:rsid w:val="00ED2F95"/>
    <w:rsid w:val="00EE00E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1561"/>
    <w:rsid w:val="00F12961"/>
    <w:rsid w:val="00F12B31"/>
    <w:rsid w:val="00F1405A"/>
    <w:rsid w:val="00F1547D"/>
    <w:rsid w:val="00F158A0"/>
    <w:rsid w:val="00F17FD1"/>
    <w:rsid w:val="00F2295C"/>
    <w:rsid w:val="00F27510"/>
    <w:rsid w:val="00F30083"/>
    <w:rsid w:val="00F40D04"/>
    <w:rsid w:val="00F41DFB"/>
    <w:rsid w:val="00F41E5F"/>
    <w:rsid w:val="00F42664"/>
    <w:rsid w:val="00F43F5F"/>
    <w:rsid w:val="00F46312"/>
    <w:rsid w:val="00F465F2"/>
    <w:rsid w:val="00F5151F"/>
    <w:rsid w:val="00F53132"/>
    <w:rsid w:val="00F55636"/>
    <w:rsid w:val="00F65192"/>
    <w:rsid w:val="00F736CE"/>
    <w:rsid w:val="00F75467"/>
    <w:rsid w:val="00F75FCB"/>
    <w:rsid w:val="00F877EB"/>
    <w:rsid w:val="00F87BE3"/>
    <w:rsid w:val="00F90E60"/>
    <w:rsid w:val="00F910DA"/>
    <w:rsid w:val="00F94622"/>
    <w:rsid w:val="00F96A93"/>
    <w:rsid w:val="00F96DED"/>
    <w:rsid w:val="00FA1501"/>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53DE-D234-4A56-93DF-F1786875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5</cp:revision>
  <cp:lastPrinted>2019-10-04T20:57:00Z</cp:lastPrinted>
  <dcterms:created xsi:type="dcterms:W3CDTF">2019-10-07T16:33:00Z</dcterms:created>
  <dcterms:modified xsi:type="dcterms:W3CDTF">2019-10-07T17:19:00Z</dcterms:modified>
</cp:coreProperties>
</file>