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D32" w14:textId="614F10E4"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7F0E66C4">
                <wp:simplePos x="0" y="0"/>
                <wp:positionH relativeFrom="column">
                  <wp:posOffset>2108835</wp:posOffset>
                </wp:positionH>
                <wp:positionV relativeFrom="paragraph">
                  <wp:posOffset>-169545</wp:posOffset>
                </wp:positionV>
                <wp:extent cx="4515810" cy="1266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266825"/>
                        </a:xfrm>
                        <a:prstGeom prst="rect">
                          <a:avLst/>
                        </a:prstGeom>
                        <a:solidFill>
                          <a:srgbClr val="FFFFFF"/>
                        </a:solidFill>
                        <a:ln w="9525">
                          <a:noFill/>
                          <a:miter lim="800000"/>
                          <a:headEnd/>
                          <a:tailEnd/>
                        </a:ln>
                      </wps:spPr>
                      <wps:txbx>
                        <w:txbxContent>
                          <w:p w14:paraId="14B52649" w14:textId="77777777" w:rsidR="00B414BD" w:rsidRPr="001E76EC" w:rsidRDefault="00B414BD" w:rsidP="00191DD4">
                            <w:pPr>
                              <w:spacing w:line="240" w:lineRule="auto"/>
                              <w:ind w:left="-90"/>
                              <w:rPr>
                                <w:b/>
                                <w:sz w:val="24"/>
                              </w:rPr>
                            </w:pPr>
                            <w:r w:rsidRPr="00DE143C">
                              <w:rPr>
                                <w:rFonts w:ascii="Arial Narrow" w:hAnsi="Arial Narrow"/>
                                <w:b/>
                                <w:color w:val="2E74B5" w:themeColor="accent5" w:themeShade="BF"/>
                                <w:sz w:val="44"/>
                                <w:szCs w:val="48"/>
                              </w:rPr>
                              <w:t xml:space="preserve">Funding Your </w:t>
                            </w:r>
                            <w:r>
                              <w:rPr>
                                <w:rFonts w:ascii="Arial Narrow" w:hAnsi="Arial Narrow"/>
                                <w:b/>
                                <w:color w:val="2E74B5" w:themeColor="accent5" w:themeShade="BF"/>
                                <w:sz w:val="44"/>
                                <w:szCs w:val="48"/>
                              </w:rPr>
                              <w:t>R</w:t>
                            </w:r>
                            <w:r w:rsidRPr="00DE143C">
                              <w:rPr>
                                <w:rFonts w:ascii="Arial Narrow" w:hAnsi="Arial Narrow"/>
                                <w:b/>
                                <w:color w:val="2E74B5" w:themeColor="accent5" w:themeShade="BF"/>
                                <w:sz w:val="44"/>
                                <w:szCs w:val="48"/>
                              </w:rPr>
                              <w:t>etirement</w:t>
                            </w:r>
                            <w:r>
                              <w:rPr>
                                <w:rFonts w:ascii="Arial Narrow" w:hAnsi="Arial Narrow"/>
                                <w:b/>
                                <w:color w:val="2E74B5" w:themeColor="accent5" w:themeShade="BF"/>
                                <w:sz w:val="44"/>
                                <w:szCs w:val="48"/>
                              </w:rPr>
                              <w:t>:</w:t>
                            </w:r>
                            <w:r w:rsidRPr="00DE143C">
                              <w:rPr>
                                <w:rFonts w:ascii="Arial Narrow" w:hAnsi="Arial Narrow"/>
                                <w:b/>
                                <w:color w:val="2E74B5" w:themeColor="accent5" w:themeShade="BF"/>
                                <w:sz w:val="44"/>
                                <w:szCs w:val="48"/>
                              </w:rPr>
                              <w:t xml:space="preserve"> </w:t>
                            </w:r>
                            <w:r w:rsidRPr="00DE143C">
                              <w:rPr>
                                <w:rFonts w:ascii="Arial Narrow" w:hAnsi="Arial Narrow"/>
                                <w:b/>
                                <w:color w:val="2E74B5" w:themeColor="accent5" w:themeShade="BF"/>
                                <w:sz w:val="44"/>
                                <w:szCs w:val="48"/>
                              </w:rPr>
                              <w:br/>
                            </w:r>
                            <w:r w:rsidRPr="00191DD4">
                              <w:rPr>
                                <w:rFonts w:ascii="Arial Narrow" w:hAnsi="Arial Narrow"/>
                                <w:bCs/>
                                <w:color w:val="2E74B5" w:themeColor="accent5" w:themeShade="BF"/>
                                <w:sz w:val="44"/>
                                <w:szCs w:val="48"/>
                              </w:rPr>
                              <w:t>Some IRA Choices to Consider</w:t>
                            </w:r>
                            <w:r w:rsidRPr="00DE143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F87571">
                              <w:rPr>
                                <w:rFonts w:ascii="Arial Narrow" w:hAnsi="Arial Narrow"/>
                                <w:b/>
                                <w:color w:val="2E74B5" w:themeColor="accent5" w:themeShade="BF"/>
                                <w:sz w:val="28"/>
                                <w:szCs w:val="48"/>
                                <w:highlight w:val="yellow"/>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05pt;margin-top:-13.35pt;width:355.6pt;height:9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73IAIAAB4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" stroked="f">
                <v:textbox>
                  <w:txbxContent>
                    <w:p w14:paraId="14B52649" w14:textId="77777777" w:rsidR="00B414BD" w:rsidRPr="001E76EC" w:rsidRDefault="00B414BD" w:rsidP="00191DD4">
                      <w:pPr>
                        <w:spacing w:line="240" w:lineRule="auto"/>
                        <w:ind w:left="-90"/>
                        <w:rPr>
                          <w:b/>
                          <w:sz w:val="24"/>
                        </w:rPr>
                      </w:pPr>
                      <w:r w:rsidRPr="00DE143C">
                        <w:rPr>
                          <w:rFonts w:ascii="Arial Narrow" w:hAnsi="Arial Narrow"/>
                          <w:b/>
                          <w:color w:val="2E74B5" w:themeColor="accent5" w:themeShade="BF"/>
                          <w:sz w:val="44"/>
                          <w:szCs w:val="48"/>
                        </w:rPr>
                        <w:t xml:space="preserve">Funding Your </w:t>
                      </w:r>
                      <w:r>
                        <w:rPr>
                          <w:rFonts w:ascii="Arial Narrow" w:hAnsi="Arial Narrow"/>
                          <w:b/>
                          <w:color w:val="2E74B5" w:themeColor="accent5" w:themeShade="BF"/>
                          <w:sz w:val="44"/>
                          <w:szCs w:val="48"/>
                        </w:rPr>
                        <w:t>R</w:t>
                      </w:r>
                      <w:r w:rsidRPr="00DE143C">
                        <w:rPr>
                          <w:rFonts w:ascii="Arial Narrow" w:hAnsi="Arial Narrow"/>
                          <w:b/>
                          <w:color w:val="2E74B5" w:themeColor="accent5" w:themeShade="BF"/>
                          <w:sz w:val="44"/>
                          <w:szCs w:val="48"/>
                        </w:rPr>
                        <w:t>etirement</w:t>
                      </w:r>
                      <w:r>
                        <w:rPr>
                          <w:rFonts w:ascii="Arial Narrow" w:hAnsi="Arial Narrow"/>
                          <w:b/>
                          <w:color w:val="2E74B5" w:themeColor="accent5" w:themeShade="BF"/>
                          <w:sz w:val="44"/>
                          <w:szCs w:val="48"/>
                        </w:rPr>
                        <w:t>:</w:t>
                      </w:r>
                      <w:r w:rsidRPr="00DE143C">
                        <w:rPr>
                          <w:rFonts w:ascii="Arial Narrow" w:hAnsi="Arial Narrow"/>
                          <w:b/>
                          <w:color w:val="2E74B5" w:themeColor="accent5" w:themeShade="BF"/>
                          <w:sz w:val="44"/>
                          <w:szCs w:val="48"/>
                        </w:rPr>
                        <w:t xml:space="preserve"> </w:t>
                      </w:r>
                      <w:r w:rsidRPr="00DE143C">
                        <w:rPr>
                          <w:rFonts w:ascii="Arial Narrow" w:hAnsi="Arial Narrow"/>
                          <w:b/>
                          <w:color w:val="2E74B5" w:themeColor="accent5" w:themeShade="BF"/>
                          <w:sz w:val="44"/>
                          <w:szCs w:val="48"/>
                        </w:rPr>
                        <w:br/>
                      </w:r>
                      <w:r w:rsidRPr="00191DD4">
                        <w:rPr>
                          <w:rFonts w:ascii="Arial Narrow" w:hAnsi="Arial Narrow"/>
                          <w:bCs/>
                          <w:color w:val="2E74B5" w:themeColor="accent5" w:themeShade="BF"/>
                          <w:sz w:val="44"/>
                          <w:szCs w:val="48"/>
                        </w:rPr>
                        <w:t>Some IRA Choices to Consider</w:t>
                      </w:r>
                      <w:r w:rsidRPr="00DE143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F87571">
                        <w:rPr>
                          <w:rFonts w:ascii="Arial Narrow" w:hAnsi="Arial Narrow"/>
                          <w:b/>
                          <w:color w:val="2E74B5" w:themeColor="accent5" w:themeShade="BF"/>
                          <w:sz w:val="28"/>
                          <w:szCs w:val="48"/>
                          <w:highlight w:val="yellow"/>
                        </w:rPr>
                        <w:t>Name Here</w:t>
                      </w:r>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B15C2" w14:textId="37584E5D" w:rsidR="00B414BD" w:rsidRDefault="00B414BD" w:rsidP="00B414BD"/>
    <w:p w14:paraId="35EE9136" w14:textId="758A906F" w:rsidR="00B414BD" w:rsidRPr="000D5B82" w:rsidRDefault="00B414BD" w:rsidP="00B414BD">
      <w:pPr>
        <w:rPr>
          <w:sz w:val="6"/>
        </w:rPr>
      </w:pPr>
    </w:p>
    <w:p w14:paraId="1C45A760" w14:textId="0CF618A3" w:rsidR="00B414BD" w:rsidRDefault="000D5B82" w:rsidP="00B414BD">
      <w:pPr>
        <w:spacing w:line="240" w:lineRule="auto"/>
        <w:jc w:val="both"/>
        <w:rPr>
          <w:b/>
          <w:sz w:val="28"/>
          <w:szCs w:val="20"/>
        </w:rPr>
      </w:pPr>
      <w:r w:rsidRPr="00445475">
        <w:rPr>
          <w:rFonts w:ascii="Arial" w:hAnsi="Arial"/>
          <w:b/>
          <w:noProof/>
          <w:sz w:val="18"/>
        </w:rPr>
        <mc:AlternateContent>
          <mc:Choice Requires="wps">
            <w:drawing>
              <wp:anchor distT="0" distB="0" distL="114300" distR="114300" simplePos="0" relativeHeight="251661312" behindDoc="0" locked="0" layoutInCell="1" allowOverlap="1" wp14:anchorId="6B11FDBD" wp14:editId="5381E66E">
                <wp:simplePos x="0" y="0"/>
                <wp:positionH relativeFrom="page">
                  <wp:posOffset>42201</wp:posOffset>
                </wp:positionH>
                <wp:positionV relativeFrom="page">
                  <wp:posOffset>1611973</wp:posOffset>
                </wp:positionV>
                <wp:extent cx="8001000" cy="95250"/>
                <wp:effectExtent l="0" t="0" r="0" b="0"/>
                <wp:wrapTight wrapText="bothSides">
                  <wp:wrapPolygon edited="0">
                    <wp:start x="0" y="0"/>
                    <wp:lineTo x="0" y="17280"/>
                    <wp:lineTo x="21549" y="17280"/>
                    <wp:lineTo x="21549"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7BF2" id="Rectangle 7" o:spid="_x0000_s1026" style="position:absolute;margin-left:3.3pt;margin-top:126.95pt;width:630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" fillcolor="#7b7b7b [2406]" stroked="f" strokecolor="#4a7ebb" strokeweight="1.5pt">
                <v:shadow opacity="22938f" offset="0"/>
                <v:textbox inset=",7.2pt,,7.2pt"/>
                <w10:wrap type="tight" anchorx="page" anchory="page"/>
              </v:rect>
            </w:pict>
          </mc:Fallback>
        </mc:AlternateContent>
      </w:r>
    </w:p>
    <w:p w14:paraId="338090BA" w14:textId="3674B6C3" w:rsidR="00B414BD" w:rsidRDefault="00932435" w:rsidP="00B414BD">
      <w:pPr>
        <w:spacing w:line="240" w:lineRule="auto"/>
        <w:jc w:val="both"/>
        <w:rPr>
          <w:szCs w:val="20"/>
        </w:rPr>
      </w:pPr>
      <w:r>
        <w:rPr>
          <w:noProof/>
        </w:rPr>
        <w:drawing>
          <wp:anchor distT="0" distB="0" distL="114300" distR="114300" simplePos="0" relativeHeight="251671552" behindDoc="1" locked="0" layoutInCell="1" allowOverlap="1" wp14:anchorId="3B9547DB" wp14:editId="3F10A0A0">
            <wp:simplePos x="0" y="0"/>
            <wp:positionH relativeFrom="column">
              <wp:posOffset>5251450</wp:posOffset>
            </wp:positionH>
            <wp:positionV relativeFrom="paragraph">
              <wp:posOffset>305435</wp:posOffset>
            </wp:positionV>
            <wp:extent cx="1719580" cy="1161415"/>
            <wp:effectExtent l="0" t="0" r="0" b="635"/>
            <wp:wrapTight wrapText="bothSides">
              <wp:wrapPolygon edited="0">
                <wp:start x="0" y="0"/>
                <wp:lineTo x="0" y="21258"/>
                <wp:lineTo x="21297" y="21258"/>
                <wp:lineTo x="21297" y="0"/>
                <wp:lineTo x="0" y="0"/>
              </wp:wrapPolygon>
            </wp:wrapTight>
            <wp:docPr id="3" name="Picture 3" descr="Image result for retirement 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irement i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58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D" w:rsidRPr="00CE42E3">
        <w:rPr>
          <w:b/>
          <w:sz w:val="28"/>
          <w:szCs w:val="20"/>
        </w:rPr>
        <w:t>I</w:t>
      </w:r>
      <w:r w:rsidR="00B414BD" w:rsidRPr="00DE143C">
        <w:rPr>
          <w:szCs w:val="20"/>
        </w:rPr>
        <w:t xml:space="preserve">t’s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is not 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sidR="00BF2A42">
        <w:rPr>
          <w:szCs w:val="20"/>
        </w:rPr>
        <w:t>Some</w:t>
      </w:r>
      <w:r w:rsidR="00B414BD" w:rsidRPr="00DE143C">
        <w:rPr>
          <w:szCs w:val="20"/>
        </w:rPr>
        <w:t xml:space="preserve"> experts agree that consistently funding your retirement plans is a healthy activity</w:t>
      </w:r>
      <w:r w:rsidR="000E4BDF">
        <w:rPr>
          <w:szCs w:val="20"/>
        </w:rPr>
        <w:t>.</w:t>
      </w:r>
      <w:r w:rsidR="00B414BD" w:rsidRPr="00DE143C">
        <w:rPr>
          <w:szCs w:val="20"/>
        </w:rPr>
        <w:t xml:space="preserve"> </w:t>
      </w:r>
      <w:r w:rsidR="00B414BD">
        <w:rPr>
          <w:szCs w:val="20"/>
        </w:rPr>
        <w:t>Funding retirement accounts at younger ages many times leads to 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61DB6ADC" w:rsidR="00B414BD" w:rsidRPr="00DE143C" w:rsidRDefault="00A01371" w:rsidP="00B414BD">
      <w:pPr>
        <w:spacing w:line="240" w:lineRule="auto"/>
        <w:jc w:val="both"/>
        <w:rPr>
          <w:szCs w:val="20"/>
        </w:rPr>
      </w:pPr>
      <w:r>
        <w:rPr>
          <w:b/>
          <w:szCs w:val="20"/>
        </w:rPr>
        <w:t>Thanks to the CARES Act, y</w:t>
      </w:r>
      <w:r w:rsidRPr="00EB28F7">
        <w:rPr>
          <w:b/>
          <w:szCs w:val="20"/>
        </w:rPr>
        <w:t>ou can still make 201</w:t>
      </w:r>
      <w:r>
        <w:rPr>
          <w:b/>
          <w:szCs w:val="20"/>
        </w:rPr>
        <w:t>9</w:t>
      </w:r>
      <w:r w:rsidRPr="00EB28F7">
        <w:rPr>
          <w:b/>
          <w:szCs w:val="20"/>
        </w:rPr>
        <w:t xml:space="preserve"> IRA contributions until </w:t>
      </w:r>
      <w:r>
        <w:rPr>
          <w:b/>
          <w:szCs w:val="20"/>
        </w:rPr>
        <w:t>July</w:t>
      </w:r>
      <w:r w:rsidRPr="00EB28F7">
        <w:rPr>
          <w:b/>
          <w:szCs w:val="20"/>
        </w:rPr>
        <w:t xml:space="preserve"> 15, 20</w:t>
      </w:r>
      <w:r>
        <w:rPr>
          <w:b/>
          <w:szCs w:val="20"/>
        </w:rPr>
        <w:t>20</w:t>
      </w:r>
      <w:proofErr w:type="gramStart"/>
      <w:r w:rsidR="00B414BD" w:rsidRPr="00EB28F7">
        <w:rPr>
          <w:b/>
          <w:szCs w:val="20"/>
        </w:rPr>
        <w:t>.</w:t>
      </w:r>
      <w:r w:rsidR="00B414BD" w:rsidRPr="00DE143C">
        <w:rPr>
          <w:szCs w:val="20"/>
        </w:rPr>
        <w:t xml:space="preserve">  </w:t>
      </w:r>
      <w:proofErr w:type="gramEnd"/>
      <w:r w:rsidR="00B414BD">
        <w:rPr>
          <w:szCs w:val="20"/>
        </w:rPr>
        <w:t>In 20</w:t>
      </w:r>
      <w:r w:rsidR="00E119FB">
        <w:rPr>
          <w:szCs w:val="20"/>
        </w:rPr>
        <w:t>19</w:t>
      </w:r>
      <w:r w:rsidR="00B414BD">
        <w:rPr>
          <w:szCs w:val="20"/>
        </w:rPr>
        <w:t xml:space="preserve">, the limit for contributing to an IRA </w:t>
      </w:r>
      <w:r w:rsidR="00E119FB">
        <w:rPr>
          <w:szCs w:val="20"/>
        </w:rPr>
        <w:t xml:space="preserve">is </w:t>
      </w:r>
      <w:r w:rsidR="00B414BD">
        <w:rPr>
          <w:szCs w:val="20"/>
        </w:rPr>
        <w:t>$6,000.  Now</w:t>
      </w:r>
      <w:r w:rsidR="00B414BD" w:rsidRPr="00DE143C">
        <w:rPr>
          <w:szCs w:val="20"/>
        </w:rPr>
        <w:t xml:space="preserve"> is </w:t>
      </w:r>
      <w:r w:rsidR="00E119FB">
        <w:rPr>
          <w:szCs w:val="20"/>
        </w:rPr>
        <w:t xml:space="preserve">also </w:t>
      </w:r>
      <w:r w:rsidR="00B414BD" w:rsidRPr="00DE143C">
        <w:rPr>
          <w:szCs w:val="20"/>
        </w:rPr>
        <w:t>a good time to consider making your 20</w:t>
      </w:r>
      <w:r w:rsidR="00E119FB">
        <w:rPr>
          <w:szCs w:val="20"/>
        </w:rPr>
        <w:t>20</w:t>
      </w:r>
      <w:r w:rsidR="00B414BD" w:rsidRPr="00DE143C">
        <w:rPr>
          <w:szCs w:val="20"/>
        </w:rPr>
        <w:t xml:space="preserve"> retirement contributions. </w:t>
      </w:r>
    </w:p>
    <w:bookmarkStart w:id="0" w:name="_Hlk2159754"/>
    <w:p w14:paraId="4DCFDC21" w14:textId="7F1D5300" w:rsidR="00B414BD" w:rsidRPr="00DE143C" w:rsidRDefault="000D5B82" w:rsidP="00B414BD">
      <w:pPr>
        <w:spacing w:after="0" w:line="240" w:lineRule="auto"/>
        <w:jc w:val="both"/>
        <w:rPr>
          <w:b/>
          <w:szCs w:val="20"/>
        </w:rPr>
      </w:pPr>
      <w:r w:rsidRPr="00445475">
        <w:rPr>
          <w:rFonts w:ascii="Arial" w:hAnsi="Arial"/>
          <w:b/>
          <w:noProof/>
          <w:sz w:val="18"/>
        </w:rPr>
        <mc:AlternateContent>
          <mc:Choice Requires="wps">
            <w:drawing>
              <wp:anchor distT="0" distB="0" distL="114300" distR="114300" simplePos="0" relativeHeight="251662336" behindDoc="0" locked="0" layoutInCell="1" allowOverlap="1" wp14:anchorId="32183ABA" wp14:editId="3323CA0A">
                <wp:simplePos x="0" y="0"/>
                <wp:positionH relativeFrom="page">
                  <wp:posOffset>0</wp:posOffset>
                </wp:positionH>
                <wp:positionV relativeFrom="page">
                  <wp:posOffset>4942068</wp:posOffset>
                </wp:positionV>
                <wp:extent cx="7895968" cy="45719"/>
                <wp:effectExtent l="0" t="0" r="0" b="0"/>
                <wp:wrapTight wrapText="bothSides">
                  <wp:wrapPolygon edited="0">
                    <wp:start x="0" y="0"/>
                    <wp:lineTo x="0" y="9127"/>
                    <wp:lineTo x="21524" y="9127"/>
                    <wp:lineTo x="21524" y="0"/>
                    <wp:lineTo x="0"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95968" cy="45719"/>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412D" id="Rectangle 7" o:spid="_x0000_s1026" style="position:absolute;margin-left:0;margin-top:389.15pt;width:621.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" fillcolor="#7b7b7b [2406]" stroked="f" strokecolor="#4a7ebb" strokeweight="1.5pt">
                <v:shadow opacity="22938f" offset="0"/>
                <v:textbox inset=",7.2pt,,7.2pt"/>
                <w10:wrap type="tight" anchorx="page" anchory="page"/>
              </v:rect>
            </w:pict>
          </mc:Fallback>
        </mc:AlternateContent>
      </w:r>
      <w:r w:rsidR="00B414BD" w:rsidRPr="005518B2">
        <w:rPr>
          <w:b/>
          <w:szCs w:val="20"/>
        </w:rPr>
        <w:t>For complete rules on IRA</w:t>
      </w:r>
      <w:r w:rsidR="00B414BD">
        <w:rPr>
          <w:b/>
          <w:szCs w:val="20"/>
        </w:rPr>
        <w:t>’s (including who qualifies)</w:t>
      </w:r>
      <w:r w:rsidR="00B414BD" w:rsidRPr="005518B2">
        <w:rPr>
          <w:b/>
          <w:szCs w:val="20"/>
        </w:rPr>
        <w:t xml:space="preserve">, please visit </w:t>
      </w:r>
      <w:hyperlink r:id="rId9" w:history="1">
        <w:r w:rsidR="00B414BD" w:rsidRPr="005518B2">
          <w:rPr>
            <w:rStyle w:val="Hyperlink"/>
            <w:b/>
            <w:szCs w:val="20"/>
          </w:rPr>
          <w:t>www.irs.gov</w:t>
        </w:r>
      </w:hyperlink>
      <w:r w:rsidR="00B414BD" w:rsidRPr="005518B2">
        <w:rPr>
          <w:b/>
          <w:szCs w:val="20"/>
        </w:rPr>
        <w:t xml:space="preserve"> Publication 590a or consult with a qualified professional.</w:t>
      </w:r>
      <w:r w:rsidR="00B414BD">
        <w:rPr>
          <w:szCs w:val="20"/>
        </w:rPr>
        <w:t xml:space="preserve"> </w:t>
      </w:r>
      <w:bookmarkEnd w:id="0"/>
      <w:r w:rsidR="00B414BD" w:rsidRPr="00DE143C">
        <w:rPr>
          <w:b/>
          <w:szCs w:val="20"/>
        </w:rPr>
        <w:t>Here is some timely information that may be helpful</w:t>
      </w:r>
      <w:r w:rsidR="00191DD4">
        <w:rPr>
          <w:b/>
          <w:szCs w:val="20"/>
        </w:rPr>
        <w:t>. T</w:t>
      </w:r>
      <w:r w:rsidR="00B414BD" w:rsidRPr="00DE143C">
        <w:rPr>
          <w:b/>
          <w:szCs w:val="20"/>
        </w:rPr>
        <w:t>o discuss your overall retirement strategy call us and schedule an appointment.</w:t>
      </w:r>
    </w:p>
    <w:p w14:paraId="67B25D6F" w14:textId="77777777"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44CCE40D" w14:textId="5F7E20FE" w:rsidR="00B414BD" w:rsidRPr="00926127" w:rsidRDefault="00B414BD" w:rsidP="00B414BD">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Traditional IRAs</w:t>
      </w:r>
    </w:p>
    <w:p w14:paraId="0355A9DB" w14:textId="4D3730BA" w:rsidR="00B414BD" w:rsidRDefault="00B414BD" w:rsidP="00B414BD">
      <w:pPr>
        <w:spacing w:after="0" w:line="240" w:lineRule="auto"/>
        <w:ind w:left="45"/>
        <w:jc w:val="both"/>
        <w:rPr>
          <w:szCs w:val="20"/>
        </w:rPr>
      </w:pPr>
      <w:r w:rsidRPr="00E97F98">
        <w:rPr>
          <w:szCs w:val="20"/>
        </w:rPr>
        <w:t xml:space="preserve">A traditional </w:t>
      </w:r>
      <w:r w:rsidRPr="00FF0294">
        <w:rPr>
          <w:b/>
          <w:szCs w:val="20"/>
        </w:rPr>
        <w:t xml:space="preserve">IRA </w:t>
      </w:r>
      <w:r w:rsidRPr="001A39C6">
        <w:rPr>
          <w:szCs w:val="20"/>
        </w:rPr>
        <w:t>(</w:t>
      </w:r>
      <w:r w:rsidRPr="00FF0294">
        <w:rPr>
          <w:b/>
          <w:szCs w:val="20"/>
        </w:rPr>
        <w:t>I</w:t>
      </w:r>
      <w:r w:rsidRPr="001A39C6">
        <w:rPr>
          <w:szCs w:val="20"/>
        </w:rPr>
        <w:t xml:space="preserve">ndividual </w:t>
      </w:r>
      <w:r w:rsidRPr="00FF0294">
        <w:rPr>
          <w:b/>
          <w:szCs w:val="20"/>
        </w:rPr>
        <w:t>R</w:t>
      </w:r>
      <w:r w:rsidRPr="001A39C6">
        <w:rPr>
          <w:szCs w:val="20"/>
        </w:rPr>
        <w:t xml:space="preserve">etirement </w:t>
      </w:r>
      <w:r w:rsidRPr="00FF0294">
        <w:rPr>
          <w:b/>
          <w:szCs w:val="20"/>
        </w:rPr>
        <w:t>A</w:t>
      </w:r>
      <w:r w:rsidRPr="001A39C6">
        <w:rPr>
          <w:szCs w:val="20"/>
        </w:rPr>
        <w:t>ccount)</w:t>
      </w:r>
      <w:r>
        <w:rPr>
          <w:szCs w:val="20"/>
        </w:rPr>
        <w:t xml:space="preserve"> is a </w:t>
      </w:r>
      <w:r w:rsidRPr="00E97F98">
        <w:rPr>
          <w:szCs w:val="20"/>
        </w:rPr>
        <w:t xml:space="preserve">way </w:t>
      </w:r>
      <w:r>
        <w:rPr>
          <w:szCs w:val="20"/>
        </w:rPr>
        <w:t xml:space="preserve">in which individuals can </w:t>
      </w:r>
      <w:r w:rsidRPr="00E97F98">
        <w:rPr>
          <w:szCs w:val="20"/>
        </w:rPr>
        <w:t xml:space="preserve">save for retirement </w:t>
      </w:r>
      <w:r>
        <w:rPr>
          <w:szCs w:val="20"/>
        </w:rPr>
        <w:t>and receive</w:t>
      </w:r>
      <w:r w:rsidRPr="00E97F98">
        <w:rPr>
          <w:szCs w:val="20"/>
        </w:rPr>
        <w:t xml:space="preserve"> tax advantages.</w:t>
      </w:r>
      <w:r>
        <w:rPr>
          <w:szCs w:val="20"/>
        </w:rPr>
        <w:t xml:space="preserve">  </w:t>
      </w:r>
      <w:r w:rsidRPr="00694C41">
        <w:rPr>
          <w:szCs w:val="20"/>
        </w:rPr>
        <w:t>Traditional IRAs come in two varieties:</w:t>
      </w:r>
      <w:r>
        <w:rPr>
          <w:szCs w:val="20"/>
        </w:rPr>
        <w:t xml:space="preserve"> </w:t>
      </w:r>
      <w:hyperlink r:id="rId10" w:history="1">
        <w:r w:rsidRPr="00694C41">
          <w:rPr>
            <w:szCs w:val="20"/>
          </w:rPr>
          <w:t>deductible and nondeductible</w:t>
        </w:r>
      </w:hyperlink>
      <w:r w:rsidRPr="00694C41">
        <w:rPr>
          <w:szCs w:val="20"/>
        </w:rPr>
        <w:t xml:space="preserve">. </w:t>
      </w:r>
      <w:r>
        <w:rPr>
          <w:szCs w:val="20"/>
        </w:rPr>
        <w:t xml:space="preserve">The contributions </w:t>
      </w:r>
      <w:r w:rsidRPr="00E97F98">
        <w:rPr>
          <w:szCs w:val="20"/>
        </w:rPr>
        <w:t>you make to a traditional IRA may be fully or partially deductible, depending on your circumstances</w:t>
      </w:r>
      <w:r>
        <w:rPr>
          <w:szCs w:val="20"/>
        </w:rPr>
        <w:t xml:space="preserve"> </w:t>
      </w:r>
      <w:r w:rsidRPr="00694C41">
        <w:rPr>
          <w:szCs w:val="20"/>
        </w:rPr>
        <w:t>(</w:t>
      </w:r>
      <w:r>
        <w:rPr>
          <w:szCs w:val="20"/>
        </w:rPr>
        <w:t xml:space="preserve">i.e. </w:t>
      </w:r>
      <w:r w:rsidRPr="00694C41">
        <w:rPr>
          <w:szCs w:val="20"/>
        </w:rPr>
        <w:t>taxpayer's income, tax-filing status and other factors)</w:t>
      </w:r>
      <w:r w:rsidRPr="00E97F98">
        <w:rPr>
          <w:szCs w:val="20"/>
        </w:rPr>
        <w:t xml:space="preserve"> and</w:t>
      </w:r>
      <w:r>
        <w:rPr>
          <w:szCs w:val="20"/>
        </w:rPr>
        <w:t xml:space="preserve"> g</w:t>
      </w:r>
      <w:r w:rsidRPr="00E97F98">
        <w:rPr>
          <w:szCs w:val="20"/>
        </w:rPr>
        <w:t>enerally, amounts in your traditional IRA (including earnings and gains) are not taxed until</w:t>
      </w:r>
      <w:r>
        <w:rPr>
          <w:szCs w:val="20"/>
        </w:rPr>
        <w:t xml:space="preserve"> they are distributed.</w:t>
      </w:r>
      <w:r w:rsidRPr="00E97F98">
        <w:rPr>
          <w:szCs w:val="20"/>
        </w:rPr>
        <w:t xml:space="preserve"> </w:t>
      </w:r>
    </w:p>
    <w:p w14:paraId="0861F5F4" w14:textId="77777777" w:rsidR="00B414BD" w:rsidRDefault="00B414BD" w:rsidP="00B414BD">
      <w:pPr>
        <w:spacing w:after="0" w:line="240" w:lineRule="auto"/>
        <w:ind w:left="45"/>
        <w:jc w:val="both"/>
        <w:rPr>
          <w:szCs w:val="20"/>
        </w:rPr>
      </w:pPr>
    </w:p>
    <w:p w14:paraId="31253861" w14:textId="4638C176" w:rsidR="00B414BD" w:rsidRDefault="00B414BD" w:rsidP="00B414BD">
      <w:pPr>
        <w:spacing w:after="0" w:line="240" w:lineRule="auto"/>
        <w:ind w:left="45"/>
        <w:jc w:val="both"/>
        <w:rPr>
          <w:szCs w:val="20"/>
        </w:rPr>
      </w:pPr>
      <w:r>
        <w:rPr>
          <w:szCs w:val="20"/>
        </w:rPr>
        <w:t>A clear advantage of traditional IRA accounts is that you can benefit from d</w:t>
      </w:r>
      <w:r w:rsidRPr="00694C41">
        <w:rPr>
          <w:szCs w:val="20"/>
        </w:rPr>
        <w:t>eferring taxes</w:t>
      </w:r>
      <w:r>
        <w:rPr>
          <w:szCs w:val="20"/>
        </w:rPr>
        <w:t xml:space="preserve"> on</w:t>
      </w:r>
      <w:r w:rsidRPr="00694C41">
        <w:rPr>
          <w:szCs w:val="20"/>
        </w:rPr>
        <w:t xml:space="preserve"> all</w:t>
      </w:r>
      <w:r>
        <w:rPr>
          <w:szCs w:val="20"/>
        </w:rPr>
        <w:t xml:space="preserve"> </w:t>
      </w:r>
      <w:r w:rsidRPr="00694C41">
        <w:rPr>
          <w:szCs w:val="20"/>
        </w:rPr>
        <w:t>dividends, interest and capital gains</w:t>
      </w:r>
      <w:r>
        <w:rPr>
          <w:szCs w:val="20"/>
        </w:rPr>
        <w:t xml:space="preserve"> earned inside the IRA account and they </w:t>
      </w:r>
      <w:r w:rsidRPr="00694C41">
        <w:rPr>
          <w:szCs w:val="20"/>
        </w:rPr>
        <w:t xml:space="preserve">can </w:t>
      </w:r>
      <w:r w:rsidR="00BF2A42">
        <w:rPr>
          <w:szCs w:val="20"/>
        </w:rPr>
        <w:t xml:space="preserve">potentially </w:t>
      </w:r>
      <w:r w:rsidRPr="00694C41">
        <w:rPr>
          <w:szCs w:val="20"/>
        </w:rPr>
        <w:t xml:space="preserve">compound each year without being </w:t>
      </w:r>
      <w:r>
        <w:rPr>
          <w:szCs w:val="20"/>
        </w:rPr>
        <w:t>reduced</w:t>
      </w:r>
      <w:r w:rsidRPr="00694C41">
        <w:rPr>
          <w:szCs w:val="20"/>
        </w:rPr>
        <w:t xml:space="preserve"> by taxes</w:t>
      </w:r>
      <w:r>
        <w:rPr>
          <w:szCs w:val="20"/>
        </w:rPr>
        <w:t xml:space="preserve">.  </w:t>
      </w:r>
      <w:bookmarkStart w:id="1" w:name="_Hlk2845186"/>
      <w:r>
        <w:rPr>
          <w:szCs w:val="20"/>
        </w:rPr>
        <w:t xml:space="preserve">This </w:t>
      </w:r>
      <w:r w:rsidR="00BF2A42">
        <w:rPr>
          <w:szCs w:val="20"/>
        </w:rPr>
        <w:t>may</w:t>
      </w:r>
      <w:r>
        <w:rPr>
          <w:szCs w:val="20"/>
        </w:rPr>
        <w:t xml:space="preserve"> allow </w:t>
      </w:r>
      <w:r w:rsidRPr="00694C41">
        <w:rPr>
          <w:szCs w:val="20"/>
        </w:rPr>
        <w:t xml:space="preserve">an IRA to </w:t>
      </w:r>
      <w:r w:rsidR="00BF2A42">
        <w:rPr>
          <w:szCs w:val="20"/>
        </w:rPr>
        <w:t>have faster</w:t>
      </w:r>
      <w:r w:rsidRPr="00694C41">
        <w:rPr>
          <w:szCs w:val="20"/>
        </w:rPr>
        <w:t xml:space="preserve"> </w:t>
      </w:r>
      <w:r w:rsidR="00BF2A42">
        <w:rPr>
          <w:szCs w:val="20"/>
        </w:rPr>
        <w:t>growth potential</w:t>
      </w:r>
      <w:r w:rsidRPr="00694C41">
        <w:rPr>
          <w:szCs w:val="20"/>
        </w:rPr>
        <w:t xml:space="preserve"> than a taxable account.</w:t>
      </w:r>
      <w:bookmarkEnd w:id="1"/>
    </w:p>
    <w:p w14:paraId="7BF0B78D" w14:textId="1697DF3B" w:rsidR="00B414BD" w:rsidRDefault="00B414BD" w:rsidP="00B414BD">
      <w:pPr>
        <w:spacing w:after="0" w:line="240" w:lineRule="auto"/>
        <w:ind w:left="45"/>
        <w:jc w:val="both"/>
        <w:rPr>
          <w:szCs w:val="20"/>
        </w:rPr>
      </w:pPr>
      <w:r>
        <w:rPr>
          <w:szCs w:val="20"/>
        </w:rPr>
        <w:t xml:space="preserve"> </w:t>
      </w:r>
    </w:p>
    <w:p w14:paraId="5B5B9866" w14:textId="77777777" w:rsidR="000D5B82" w:rsidRDefault="000D5B82" w:rsidP="00B414BD">
      <w:pPr>
        <w:spacing w:after="0" w:line="240" w:lineRule="auto"/>
        <w:ind w:left="45"/>
        <w:jc w:val="both"/>
        <w:rPr>
          <w:szCs w:val="20"/>
        </w:rPr>
      </w:pPr>
    </w:p>
    <w:p w14:paraId="1D923269" w14:textId="2466658B" w:rsidR="00FC7F39" w:rsidRDefault="00FC7F39" w:rsidP="00B414BD">
      <w:pPr>
        <w:spacing w:after="0" w:line="240" w:lineRule="auto"/>
        <w:ind w:left="45"/>
        <w:jc w:val="both"/>
        <w:rPr>
          <w:szCs w:val="20"/>
        </w:rPr>
      </w:pPr>
    </w:p>
    <w:p w14:paraId="253E110D" w14:textId="0752506E" w:rsidR="00FC7F39" w:rsidRDefault="000D5B82" w:rsidP="00B414BD">
      <w:pPr>
        <w:spacing w:after="0" w:line="240" w:lineRule="auto"/>
        <w:ind w:left="45"/>
        <w:jc w:val="both"/>
        <w:rPr>
          <w:szCs w:val="20"/>
        </w:rPr>
      </w:pPr>
      <w:r w:rsidRPr="00164D3E">
        <w:rPr>
          <w:rFonts w:ascii="Arial Narrow" w:hAnsi="Arial Narrow"/>
          <w:b/>
          <w:noProof/>
          <w:color w:val="FFFF00"/>
          <w:sz w:val="28"/>
          <w:szCs w:val="4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8480" behindDoc="0" locked="0" layoutInCell="1" allowOverlap="1" wp14:anchorId="2879EFEA" wp14:editId="6491CE26">
                <wp:simplePos x="0" y="0"/>
                <wp:positionH relativeFrom="column">
                  <wp:posOffset>-36967</wp:posOffset>
                </wp:positionH>
                <wp:positionV relativeFrom="paragraph">
                  <wp:posOffset>203080</wp:posOffset>
                </wp:positionV>
                <wp:extent cx="6921500" cy="5784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78485"/>
                        </a:xfrm>
                        <a:prstGeom prst="rect">
                          <a:avLst/>
                        </a:prstGeom>
                        <a:solidFill>
                          <a:schemeClr val="accent5">
                            <a:lumMod val="50000"/>
                          </a:schemeClr>
                        </a:solidFill>
                        <a:ln w="9525">
                          <a:noFill/>
                          <a:miter lim="800000"/>
                          <a:headEnd/>
                          <a:tailEnd/>
                        </a:ln>
                      </wps:spPr>
                      <wps:txbx>
                        <w:txbxContent>
                          <w:p w14:paraId="37454BB3" w14:textId="2B37ED8E" w:rsidR="00164D3E" w:rsidRPr="00D33A56" w:rsidRDefault="00164D3E" w:rsidP="00164D3E">
                            <w:pPr>
                              <w:pStyle w:val="ListParagraph"/>
                              <w:shd w:val="clear" w:color="auto" w:fill="1F4E79" w:themeFill="accent5" w:themeFillShade="80"/>
                              <w:spacing w:after="0" w:line="240" w:lineRule="auto"/>
                              <w:ind w:left="90" w:firstLine="0"/>
                              <w:jc w:val="center"/>
                              <w:rPr>
                                <w:rFonts w:ascii="Arial Narrow" w:hAnsi="Arial Narrow"/>
                                <w:b/>
                                <w:color w:val="FFFF00"/>
                                <w:sz w:val="28"/>
                                <w:szCs w:val="48"/>
                                <w14:shadow w14:blurRad="50800" w14:dist="38100" w14:dir="2700000" w14:sx="100000" w14:sy="100000" w14:kx="0" w14:ky="0" w14:algn="tl">
                                  <w14:srgbClr w14:val="000000">
                                    <w14:alpha w14:val="60000"/>
                                  </w14:srgbClr>
                                </w14:shadow>
                              </w:rPr>
                            </w:pPr>
                            <w:r>
                              <w:rPr>
                                <w:rFonts w:ascii="Arial Narrow" w:hAnsi="Arial Narrow"/>
                                <w:b/>
                                <w:color w:val="FFFF00"/>
                                <w:sz w:val="28"/>
                                <w:szCs w:val="48"/>
                                <w14:shadow w14:blurRad="50800" w14:dist="38100" w14:dir="2700000" w14:sx="100000" w14:sy="100000" w14:kx="0" w14:ky="0" w14:algn="tl">
                                  <w14:srgbClr w14:val="000000">
                                    <w14:alpha w14:val="60000"/>
                                  </w14:srgbClr>
                                </w14:shadow>
                              </w:rPr>
                              <w:t xml:space="preserve">Are </w:t>
                            </w: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you interested in funding an IRA for you or a family member?</w:t>
                            </w:r>
                          </w:p>
                          <w:p w14:paraId="2C839584" w14:textId="7DE9FA03" w:rsidR="00164D3E" w:rsidRDefault="00164D3E" w:rsidP="00164D3E">
                            <w:pPr>
                              <w:jc w:val="center"/>
                            </w:pP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If so, please call us and we would be happy to assist you</w:t>
                            </w:r>
                            <w:r>
                              <w:rPr>
                                <w:rFonts w:ascii="Arial Narrow" w:hAnsi="Arial Narrow"/>
                                <w:b/>
                                <w:color w:val="FFFF00"/>
                                <w:sz w:val="28"/>
                                <w:szCs w:val="4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EFEA" id="_x0000_s1027" type="#_x0000_t202" style="position:absolute;left:0;text-align:left;margin-left:-2.9pt;margin-top:16pt;width:545pt;height:4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" fillcolor="#1f4d78 [1608]" stroked="f">
                <v:textbox>
                  <w:txbxContent>
                    <w:p w14:paraId="37454BB3" w14:textId="2B37ED8E" w:rsidR="00164D3E" w:rsidRPr="00D33A56" w:rsidRDefault="00164D3E" w:rsidP="00164D3E">
                      <w:pPr>
                        <w:pStyle w:val="ListParagraph"/>
                        <w:shd w:val="clear" w:color="auto" w:fill="1F4E79" w:themeFill="accent5" w:themeFillShade="80"/>
                        <w:spacing w:after="0" w:line="240" w:lineRule="auto"/>
                        <w:ind w:left="90" w:firstLine="0"/>
                        <w:jc w:val="center"/>
                        <w:rPr>
                          <w:rFonts w:ascii="Arial Narrow" w:hAnsi="Arial Narrow"/>
                          <w:b/>
                          <w:color w:val="FFFF00"/>
                          <w:sz w:val="28"/>
                          <w:szCs w:val="48"/>
                          <w14:shadow w14:blurRad="50800" w14:dist="38100" w14:dir="2700000" w14:sx="100000" w14:sy="100000" w14:kx="0" w14:ky="0" w14:algn="tl">
                            <w14:srgbClr w14:val="000000">
                              <w14:alpha w14:val="60000"/>
                            </w14:srgbClr>
                          </w14:shadow>
                        </w:rPr>
                      </w:pPr>
                      <w:r>
                        <w:rPr>
                          <w:rFonts w:ascii="Arial Narrow" w:hAnsi="Arial Narrow"/>
                          <w:b/>
                          <w:color w:val="FFFF00"/>
                          <w:sz w:val="28"/>
                          <w:szCs w:val="48"/>
                          <w14:shadow w14:blurRad="50800" w14:dist="38100" w14:dir="2700000" w14:sx="100000" w14:sy="100000" w14:kx="0" w14:ky="0" w14:algn="tl">
                            <w14:srgbClr w14:val="000000">
                              <w14:alpha w14:val="60000"/>
                            </w14:srgbClr>
                          </w14:shadow>
                        </w:rPr>
                        <w:t xml:space="preserve">Are </w:t>
                      </w: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you interested in funding an IRA for you or a family member?</w:t>
                      </w:r>
                    </w:p>
                    <w:p w14:paraId="2C839584" w14:textId="7DE9FA03" w:rsidR="00164D3E" w:rsidRDefault="00164D3E" w:rsidP="00164D3E">
                      <w:pPr>
                        <w:jc w:val="center"/>
                      </w:pP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If so, please call us and we would be happy to assist you</w:t>
                      </w:r>
                      <w:r>
                        <w:rPr>
                          <w:rFonts w:ascii="Arial Narrow" w:hAnsi="Arial Narrow"/>
                          <w:b/>
                          <w:color w:val="FFFF00"/>
                          <w:sz w:val="28"/>
                          <w:szCs w:val="48"/>
                          <w14:shadow w14:blurRad="50800" w14:dist="38100" w14:dir="2700000" w14:sx="100000" w14:sy="100000" w14:kx="0" w14:ky="0" w14:algn="tl">
                            <w14:srgbClr w14:val="000000">
                              <w14:alpha w14:val="60000"/>
                            </w14:srgbClr>
                          </w14:shadow>
                        </w:rPr>
                        <w:t>.</w:t>
                      </w:r>
                    </w:p>
                  </w:txbxContent>
                </v:textbox>
              </v:shape>
            </w:pict>
          </mc:Fallback>
        </mc:AlternateContent>
      </w:r>
    </w:p>
    <w:p w14:paraId="5ED9B497" w14:textId="11E1A8E6" w:rsidR="00FC7F39" w:rsidRDefault="00FC7F39" w:rsidP="00B414BD">
      <w:pPr>
        <w:spacing w:after="0" w:line="240" w:lineRule="auto"/>
        <w:ind w:left="45"/>
        <w:jc w:val="both"/>
        <w:rPr>
          <w:szCs w:val="20"/>
        </w:rPr>
      </w:pPr>
    </w:p>
    <w:p w14:paraId="3B749344" w14:textId="61960D3C" w:rsidR="00FC7F39" w:rsidRPr="00191DD4" w:rsidRDefault="00FC7F39" w:rsidP="00B414BD">
      <w:pPr>
        <w:spacing w:after="0" w:line="240" w:lineRule="auto"/>
        <w:ind w:left="45"/>
        <w:jc w:val="both"/>
        <w:rPr>
          <w:sz w:val="16"/>
          <w:szCs w:val="14"/>
        </w:rPr>
      </w:pPr>
    </w:p>
    <w:p w14:paraId="5A84A955" w14:textId="5FABBB0C" w:rsidR="00B414BD" w:rsidRPr="00926127" w:rsidRDefault="001F7415" w:rsidP="00B414BD">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00B414BD" w:rsidRPr="009261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IRA</w:t>
      </w:r>
    </w:p>
    <w:p w14:paraId="2E60F593" w14:textId="3B29A985" w:rsidR="00B414BD" w:rsidRDefault="00B414BD" w:rsidP="00B414BD">
      <w:pPr>
        <w:spacing w:after="0" w:line="240" w:lineRule="auto"/>
        <w:ind w:left="45"/>
        <w:jc w:val="both"/>
        <w:rPr>
          <w:szCs w:val="20"/>
        </w:rPr>
      </w:pPr>
      <w:r w:rsidRPr="00E97F98">
        <w:rPr>
          <w:szCs w:val="20"/>
        </w:rPr>
        <w:t>A Roth IRA is an IRA that</w:t>
      </w:r>
      <w:r>
        <w:rPr>
          <w:szCs w:val="20"/>
        </w:rPr>
        <w:t xml:space="preserve"> </w:t>
      </w:r>
      <w:r w:rsidRPr="00E97F98">
        <w:rPr>
          <w:szCs w:val="20"/>
        </w:rPr>
        <w:t xml:space="preserve">is subject to </w:t>
      </w:r>
      <w:r>
        <w:rPr>
          <w:szCs w:val="20"/>
        </w:rPr>
        <w:t>many of the same</w:t>
      </w:r>
      <w:r w:rsidRPr="00E97F98">
        <w:rPr>
          <w:szCs w:val="20"/>
        </w:rPr>
        <w:t xml:space="preserve"> rules that apply to a</w:t>
      </w:r>
      <w:r>
        <w:rPr>
          <w:szCs w:val="20"/>
        </w:rPr>
        <w:t xml:space="preserve"> </w:t>
      </w:r>
      <w:r w:rsidR="00191DD4">
        <w:rPr>
          <w:szCs w:val="20"/>
        </w:rPr>
        <w:t>t</w:t>
      </w:r>
      <w:r w:rsidRPr="00E97F98">
        <w:rPr>
          <w:szCs w:val="20"/>
        </w:rPr>
        <w:t>raditional I</w:t>
      </w:r>
      <w:r>
        <w:rPr>
          <w:szCs w:val="20"/>
        </w:rPr>
        <w:t>RA with some major exceptions</w:t>
      </w:r>
      <w:r w:rsidRPr="00E97F98">
        <w:rPr>
          <w:szCs w:val="20"/>
        </w:rPr>
        <w:t>.</w:t>
      </w:r>
      <w:r>
        <w:rPr>
          <w:szCs w:val="20"/>
        </w:rPr>
        <w:t xml:space="preserve"> Unlike traditional IRAs which for some taxpayers can be tax deducted, y</w:t>
      </w:r>
      <w:r w:rsidRPr="00E97F98">
        <w:rPr>
          <w:szCs w:val="20"/>
        </w:rPr>
        <w:t>ou cannot deduct contributions to a Roth IRA.</w:t>
      </w:r>
      <w:r>
        <w:rPr>
          <w:szCs w:val="20"/>
        </w:rPr>
        <w:t xml:space="preserve"> Some Roth IRA advantages include</w:t>
      </w:r>
      <w:r w:rsidR="00164D3E">
        <w:rPr>
          <w:szCs w:val="20"/>
        </w:rPr>
        <w:t>:</w:t>
      </w:r>
    </w:p>
    <w:p w14:paraId="58B9DE1E" w14:textId="32B51D67"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If you satisfy the requirements, </w:t>
      </w:r>
      <w:hyperlink r:id="rId11" w:history="1">
        <w:r w:rsidRPr="00FF0294">
          <w:rPr>
            <w:rFonts w:asciiTheme="minorHAnsi" w:eastAsia="Calibri" w:hAnsiTheme="minorHAnsi" w:cstheme="minorHAnsi"/>
            <w:sz w:val="22"/>
          </w:rPr>
          <w:t>qualified distributions</w:t>
        </w:r>
      </w:hyperlink>
      <w:r w:rsidRPr="00FF0294">
        <w:rPr>
          <w:rFonts w:asciiTheme="minorHAnsi" w:hAnsiTheme="minorHAnsi" w:cstheme="minorHAnsi"/>
          <w:sz w:val="22"/>
        </w:rPr>
        <w:t xml:space="preserve"> are tax-free.</w:t>
      </w:r>
    </w:p>
    <w:p w14:paraId="0CF03592" w14:textId="21F4F462"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You can leave funds in your Roth IRA for your entire lifetime</w:t>
      </w:r>
      <w:r w:rsidR="00191DD4">
        <w:rPr>
          <w:rFonts w:asciiTheme="minorHAnsi" w:hAnsiTheme="minorHAnsi" w:cstheme="minorHAnsi"/>
          <w:sz w:val="22"/>
        </w:rPr>
        <w:t>.</w:t>
      </w:r>
    </w:p>
    <w:p w14:paraId="7643DBCE" w14:textId="17842E1C"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Beneficiaries inherit your Roth IRAs tax-free</w:t>
      </w:r>
      <w:r w:rsidR="00BF2A42">
        <w:rPr>
          <w:rFonts w:asciiTheme="minorHAnsi" w:hAnsiTheme="minorHAnsi" w:cstheme="minorHAnsi"/>
          <w:sz w:val="22"/>
        </w:rPr>
        <w:t>, if account requirements have been satisfied.</w:t>
      </w:r>
    </w:p>
    <w:p w14:paraId="24546FC3" w14:textId="77777777" w:rsidR="00B414BD" w:rsidRDefault="00B414BD" w:rsidP="00B414BD">
      <w:pPr>
        <w:pStyle w:val="ListParagraph"/>
        <w:spacing w:after="0" w:line="240" w:lineRule="auto"/>
        <w:ind w:left="405" w:firstLine="0"/>
        <w:rPr>
          <w:szCs w:val="20"/>
        </w:rPr>
      </w:pPr>
    </w:p>
    <w:p w14:paraId="15F55C19" w14:textId="67EC7FB3" w:rsidR="00B414BD" w:rsidRDefault="00B414BD" w:rsidP="00164D3E">
      <w:pPr>
        <w:spacing w:after="0" w:line="240" w:lineRule="auto"/>
        <w:jc w:val="both"/>
        <w:rPr>
          <w:szCs w:val="20"/>
        </w:rPr>
      </w:pPr>
      <w:r w:rsidRPr="003E159D">
        <w:rPr>
          <w:bCs/>
          <w:szCs w:val="20"/>
        </w:rPr>
        <w:t xml:space="preserve">Many </w:t>
      </w:r>
      <w:r w:rsidRPr="003E159D">
        <w:rPr>
          <w:szCs w:val="20"/>
        </w:rPr>
        <w:t>investors know and understand that the largest benefit of the</w:t>
      </w:r>
      <w:r>
        <w:rPr>
          <w:szCs w:val="20"/>
        </w:rPr>
        <w:t xml:space="preserve"> </w:t>
      </w:r>
      <w:r w:rsidRPr="003E159D">
        <w:rPr>
          <w:bCs/>
          <w:szCs w:val="20"/>
        </w:rPr>
        <w:t>Roth IRA</w:t>
      </w:r>
      <w:r>
        <w:rPr>
          <w:szCs w:val="20"/>
        </w:rPr>
        <w:t xml:space="preserve"> </w:t>
      </w:r>
      <w:r w:rsidRPr="003E159D">
        <w:rPr>
          <w:szCs w:val="20"/>
        </w:rPr>
        <w:t>is its</w:t>
      </w:r>
      <w:r>
        <w:rPr>
          <w:szCs w:val="20"/>
        </w:rPr>
        <w:t xml:space="preserve"> </w:t>
      </w:r>
      <w:r w:rsidRPr="003E159D">
        <w:rPr>
          <w:bCs/>
          <w:szCs w:val="20"/>
        </w:rPr>
        <w:t>tax</w:t>
      </w:r>
      <w:r w:rsidRPr="003E159D">
        <w:rPr>
          <w:szCs w:val="20"/>
        </w:rPr>
        <w:t xml:space="preserve">-free withdrawal of contributions, interest and earnings in retirement, but </w:t>
      </w:r>
      <w:r w:rsidRPr="003E159D">
        <w:rPr>
          <w:bCs/>
          <w:szCs w:val="20"/>
        </w:rPr>
        <w:t>Roth IRAs</w:t>
      </w:r>
      <w:r>
        <w:rPr>
          <w:szCs w:val="20"/>
        </w:rPr>
        <w:t xml:space="preserve"> </w:t>
      </w:r>
      <w:r w:rsidRPr="003E159D">
        <w:rPr>
          <w:szCs w:val="20"/>
        </w:rPr>
        <w:t xml:space="preserve">can </w:t>
      </w:r>
      <w:r w:rsidR="000E4BDF">
        <w:rPr>
          <w:szCs w:val="20"/>
        </w:rPr>
        <w:t xml:space="preserve">also </w:t>
      </w:r>
      <w:r w:rsidRPr="003E159D">
        <w:rPr>
          <w:szCs w:val="20"/>
        </w:rPr>
        <w:t>help you leave a legacy to your heirs with proper</w:t>
      </w:r>
      <w:r>
        <w:rPr>
          <w:szCs w:val="20"/>
        </w:rPr>
        <w:t xml:space="preserve"> </w:t>
      </w:r>
      <w:r w:rsidRPr="003E159D">
        <w:rPr>
          <w:bCs/>
          <w:szCs w:val="20"/>
        </w:rPr>
        <w:t>estate planning</w:t>
      </w:r>
      <w:r w:rsidRPr="003E159D">
        <w:rPr>
          <w:szCs w:val="20"/>
        </w:rPr>
        <w:t>.</w:t>
      </w:r>
    </w:p>
    <w:p w14:paraId="708C2B05" w14:textId="77777777" w:rsidR="00FC7F39" w:rsidRDefault="00FC7F39" w:rsidP="00164D3E">
      <w:pPr>
        <w:spacing w:after="0" w:line="240" w:lineRule="auto"/>
        <w:jc w:val="both"/>
        <w:rPr>
          <w:szCs w:val="20"/>
        </w:rPr>
      </w:pPr>
    </w:p>
    <w:p w14:paraId="68FA0D52" w14:textId="77777777" w:rsidR="00FC7F39" w:rsidRDefault="00FC7F39" w:rsidP="00164D3E">
      <w:pPr>
        <w:spacing w:after="0" w:line="240" w:lineRule="auto"/>
        <w:jc w:val="both"/>
        <w:rPr>
          <w:szCs w:val="20"/>
        </w:rPr>
      </w:pPr>
    </w:p>
    <w:p w14:paraId="6A48F3F1" w14:textId="77777777" w:rsidR="00FC7F39" w:rsidRDefault="00FC7F39" w:rsidP="00164D3E">
      <w:pPr>
        <w:spacing w:after="0" w:line="240" w:lineRule="auto"/>
        <w:jc w:val="both"/>
        <w:rPr>
          <w:szCs w:val="20"/>
        </w:rPr>
      </w:pPr>
    </w:p>
    <w:p w14:paraId="05C417AB" w14:textId="77777777" w:rsidR="00FC7F39" w:rsidRDefault="00FC7F39" w:rsidP="00164D3E">
      <w:pPr>
        <w:spacing w:after="0" w:line="240" w:lineRule="auto"/>
        <w:jc w:val="both"/>
        <w:rPr>
          <w:szCs w:val="20"/>
        </w:rPr>
      </w:pPr>
    </w:p>
    <w:p w14:paraId="652B97F3" w14:textId="6C7CAB4A" w:rsidR="00FC7F39" w:rsidRPr="000D5B82" w:rsidRDefault="00FC7F39" w:rsidP="00164D3E">
      <w:pPr>
        <w:spacing w:after="0" w:line="240" w:lineRule="auto"/>
        <w:jc w:val="both"/>
        <w:rPr>
          <w:sz w:val="14"/>
          <w:szCs w:val="20"/>
        </w:rPr>
        <w:sectPr w:rsidR="00FC7F39" w:rsidRPr="000D5B82" w:rsidSect="00EA208C">
          <w:type w:val="continuous"/>
          <w:pgSz w:w="12240" w:h="15840"/>
          <w:pgMar w:top="720" w:right="720" w:bottom="720" w:left="720" w:header="720" w:footer="720" w:gutter="0"/>
          <w:cols w:num="2" w:space="360"/>
          <w:docGrid w:linePitch="360"/>
        </w:sectPr>
      </w:pPr>
    </w:p>
    <w:p w14:paraId="16D424C2" w14:textId="6AFA2F5D" w:rsidR="00B414BD" w:rsidRPr="00164D3E" w:rsidRDefault="00B414BD" w:rsidP="00F1338F">
      <w:pPr>
        <w:shd w:val="clear" w:color="auto" w:fill="FFFFFF" w:themeFill="background1"/>
        <w:spacing w:after="0" w:line="240" w:lineRule="auto"/>
        <w:rPr>
          <w:rFonts w:ascii="Arial Narrow" w:hAnsi="Arial Narrow"/>
          <w:b/>
          <w:color w:val="FFFF00"/>
          <w:sz w:val="28"/>
          <w:szCs w:val="48"/>
          <w14:shadow w14:blurRad="50800" w14:dist="38100" w14:dir="2700000" w14:sx="100000" w14:sy="100000" w14:kx="0" w14:ky="0" w14:algn="tl">
            <w14:srgbClr w14:val="000000">
              <w14:alpha w14:val="60000"/>
            </w14:srgbClr>
          </w14:shadow>
        </w:rPr>
        <w:sectPr w:rsidR="00B414BD" w:rsidRPr="00164D3E" w:rsidSect="00EA208C">
          <w:type w:val="continuous"/>
          <w:pgSz w:w="12240" w:h="15840"/>
          <w:pgMar w:top="720" w:right="720" w:bottom="720" w:left="720" w:header="720" w:footer="720" w:gutter="0"/>
          <w:cols w:space="360"/>
          <w:docGrid w:linePitch="360"/>
        </w:sectPr>
      </w:pPr>
    </w:p>
    <w:p w14:paraId="6392DDD9" w14:textId="0413E648" w:rsidR="00B414BD" w:rsidRPr="00926127" w:rsidRDefault="004A3760" w:rsidP="00B414BD">
      <w:pPr>
        <w:shd w:val="clear" w:color="auto" w:fill="1F4E79" w:themeFill="accent5" w:themeFillShade="80"/>
        <w:spacing w:after="0" w:line="240" w:lineRule="auto"/>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lastRenderedPageBreak/>
        <w:t xml:space="preserve"> </w:t>
      </w:r>
      <w:r w:rsidR="00B414BD"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Spousal IRA</w:t>
      </w:r>
    </w:p>
    <w:p w14:paraId="1455B097" w14:textId="415E40DE" w:rsidR="00B414BD" w:rsidRDefault="00B414BD" w:rsidP="00B414BD">
      <w:pPr>
        <w:shd w:val="clear" w:color="auto" w:fill="FFFFFF"/>
        <w:spacing w:after="0" w:line="240" w:lineRule="auto"/>
        <w:jc w:val="both"/>
        <w:textAlignment w:val="baseline"/>
        <w:rPr>
          <w:szCs w:val="20"/>
        </w:rPr>
      </w:pPr>
      <w:r w:rsidRPr="006D09D0">
        <w:rPr>
          <w:szCs w:val="20"/>
        </w:rPr>
        <w:t xml:space="preserve">If your spouse doesn't work, they can </w:t>
      </w:r>
      <w:r>
        <w:rPr>
          <w:szCs w:val="20"/>
        </w:rPr>
        <w:t xml:space="preserve">still </w:t>
      </w:r>
      <w:r w:rsidRPr="006D09D0">
        <w:rPr>
          <w:szCs w:val="20"/>
        </w:rPr>
        <w:t>have a spousal</w:t>
      </w:r>
      <w:r>
        <w:rPr>
          <w:szCs w:val="20"/>
        </w:rPr>
        <w:t xml:space="preserve"> traditional or Roth</w:t>
      </w:r>
      <w:r w:rsidRPr="006D09D0">
        <w:rPr>
          <w:szCs w:val="20"/>
        </w:rPr>
        <w:t xml:space="preserve">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w:t>
      </w:r>
      <w:r>
        <w:rPr>
          <w:szCs w:val="20"/>
        </w:rPr>
        <w:t>E</w:t>
      </w:r>
      <w:r w:rsidRPr="006D09D0">
        <w:rPr>
          <w:szCs w:val="20"/>
        </w:rPr>
        <w:t>ligible married spouses can each contribute up to the contribution limit each year to their respective IRAs</w:t>
      </w:r>
      <w:r>
        <w:rPr>
          <w:szCs w:val="20"/>
        </w:rPr>
        <w:t xml:space="preserve"> (s</w:t>
      </w:r>
      <w:r w:rsidRPr="006D09D0">
        <w:rPr>
          <w:szCs w:val="20"/>
        </w:rPr>
        <w:t>pousal IRAs are also eligible for a $1,000 catch-up contribution for those 50 and older</w:t>
      </w:r>
      <w:r>
        <w:rPr>
          <w:szCs w:val="20"/>
        </w:rPr>
        <w:t xml:space="preserve">). </w:t>
      </w:r>
      <w:r>
        <w:rPr>
          <w:b/>
          <w:szCs w:val="20"/>
        </w:rPr>
        <w:t>T</w:t>
      </w:r>
      <w:r w:rsidRPr="00DE143C">
        <w:rPr>
          <w:b/>
          <w:szCs w:val="20"/>
        </w:rPr>
        <w:t xml:space="preserve">o discuss </w:t>
      </w:r>
      <w:r>
        <w:rPr>
          <w:b/>
          <w:szCs w:val="20"/>
        </w:rPr>
        <w:t>spousal IRA strategies,</w:t>
      </w:r>
      <w:r w:rsidRPr="00DE143C">
        <w:rPr>
          <w:b/>
          <w:szCs w:val="20"/>
        </w:rPr>
        <w:t xml:space="preserve"> call us</w:t>
      </w:r>
      <w:r>
        <w:rPr>
          <w:b/>
          <w:szCs w:val="20"/>
        </w:rPr>
        <w:t>.</w:t>
      </w:r>
    </w:p>
    <w:p w14:paraId="366453C4" w14:textId="64571AA6" w:rsidR="00B414BD" w:rsidRPr="006D09D0" w:rsidRDefault="00B414BD" w:rsidP="00B414BD">
      <w:pPr>
        <w:shd w:val="clear" w:color="auto" w:fill="FFFFFF"/>
        <w:spacing w:after="0" w:line="240" w:lineRule="auto"/>
        <w:jc w:val="both"/>
        <w:textAlignment w:val="baseline"/>
        <w:rPr>
          <w:szCs w:val="20"/>
        </w:rPr>
      </w:pPr>
    </w:p>
    <w:p w14:paraId="41EE67E9" w14:textId="6A084664" w:rsidR="00B414BD" w:rsidRPr="00926127" w:rsidRDefault="00B414BD" w:rsidP="004A3760">
      <w:pPr>
        <w:shd w:val="clear" w:color="auto" w:fill="1F4E79" w:themeFill="accent5" w:themeFillShade="80"/>
        <w:spacing w:after="0" w:line="240" w:lineRule="auto"/>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Custodial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001F7415"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IRA</w:t>
      </w:r>
    </w:p>
    <w:p w14:paraId="2335AF35" w14:textId="54689D8A" w:rsidR="004A3760" w:rsidRPr="00CE42E3" w:rsidRDefault="00B414BD" w:rsidP="00B414BD">
      <w:pPr>
        <w:spacing w:after="240" w:line="240" w:lineRule="auto"/>
        <w:jc w:val="both"/>
        <w:textAlignment w:val="baseline"/>
        <w:rPr>
          <w:szCs w:val="20"/>
        </w:rPr>
      </w:pPr>
      <w:r w:rsidRPr="00CE42E3">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30FC8308" w14:textId="0BA27BAB" w:rsidR="00B414BD" w:rsidRPr="00CE42E3" w:rsidRDefault="00B414BD" w:rsidP="00B414BD">
      <w:pPr>
        <w:spacing w:after="240" w:line="240" w:lineRule="auto"/>
        <w:jc w:val="both"/>
        <w:textAlignment w:val="baseline"/>
        <w:rPr>
          <w:szCs w:val="20"/>
        </w:rPr>
      </w:pPr>
      <w:r w:rsidRPr="00CE42E3">
        <w:rPr>
          <w:szCs w:val="20"/>
        </w:rPr>
        <w:t>Some of the rules regarding custodial Roth IRAs are:</w:t>
      </w:r>
    </w:p>
    <w:p w14:paraId="623B9941" w14:textId="0DE92F3C"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201</w:t>
      </w:r>
      <w:r w:rsidR="00E119FB">
        <w:rPr>
          <w:rFonts w:asciiTheme="minorHAnsi" w:hAnsiTheme="minorHAnsi" w:cstheme="minorHAnsi"/>
          <w:color w:val="0D0D0D" w:themeColor="text1" w:themeTint="F2"/>
          <w:sz w:val="22"/>
        </w:rPr>
        <w:t>9 and 2020</w:t>
      </w:r>
      <w:r>
        <w:rPr>
          <w:rFonts w:asciiTheme="minorHAnsi" w:hAnsiTheme="minorHAnsi" w:cstheme="minorHAnsi"/>
          <w:color w:val="0D0D0D" w:themeColor="text1" w:themeTint="F2"/>
          <w:sz w:val="22"/>
        </w:rPr>
        <w:t xml:space="preserve"> </w:t>
      </w:r>
      <w:r w:rsidRPr="00CE42E3">
        <w:rPr>
          <w:rFonts w:asciiTheme="minorHAnsi" w:hAnsiTheme="minorHAnsi" w:cstheme="minorHAnsi"/>
          <w:color w:val="0D0D0D" w:themeColor="text1" w:themeTint="F2"/>
          <w:sz w:val="22"/>
        </w:rPr>
        <w:t>is $</w:t>
      </w:r>
      <w:r>
        <w:rPr>
          <w:rFonts w:asciiTheme="minorHAnsi" w:hAnsiTheme="minorHAnsi" w:cstheme="minorHAnsi"/>
          <w:color w:val="0D0D0D" w:themeColor="text1" w:themeTint="F2"/>
          <w:sz w:val="22"/>
        </w:rPr>
        <w:t>6</w:t>
      </w:r>
      <w:r w:rsidRPr="00CE42E3">
        <w:rPr>
          <w:rFonts w:asciiTheme="minorHAnsi" w:hAnsiTheme="minorHAnsi" w:cstheme="minorHAnsi"/>
          <w:color w:val="0D0D0D" w:themeColor="text1" w:themeTint="F2"/>
          <w:sz w:val="22"/>
        </w:rPr>
        <w:t>,</w:t>
      </w:r>
      <w:r>
        <w:rPr>
          <w:rFonts w:asciiTheme="minorHAnsi" w:hAnsiTheme="minorHAnsi" w:cstheme="minorHAnsi"/>
          <w:color w:val="0D0D0D" w:themeColor="text1" w:themeTint="F2"/>
          <w:sz w:val="22"/>
        </w:rPr>
        <w:t>0</w:t>
      </w:r>
      <w:r w:rsidRPr="00CE42E3">
        <w:rPr>
          <w:rFonts w:asciiTheme="minorHAnsi" w:hAnsiTheme="minorHAnsi" w:cstheme="minorHAnsi"/>
          <w:color w:val="0D0D0D" w:themeColor="text1" w:themeTint="F2"/>
          <w:sz w:val="22"/>
        </w:rPr>
        <w:t>00.</w:t>
      </w:r>
    </w:p>
    <w:p w14:paraId="23733A2B" w14:textId="2C680BFF"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Adjusted gross income for the child must be below the thresholds above which Roth IRAs aren't allowed.</w:t>
      </w:r>
    </w:p>
    <w:p w14:paraId="168B3826" w14:textId="07FF5403"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75F5C9F1" w14:textId="2A8F49B5" w:rsidR="00B414BD" w:rsidRPr="00CD317A" w:rsidRDefault="00B414BD" w:rsidP="00B414BD">
      <w:pPr>
        <w:pStyle w:val="ListParagraph"/>
        <w:numPr>
          <w:ilvl w:val="0"/>
          <w:numId w:val="2"/>
        </w:numPr>
        <w:spacing w:after="240" w:line="240" w:lineRule="auto"/>
        <w:ind w:left="270" w:hanging="270"/>
        <w:textAlignment w:val="baseline"/>
        <w:rPr>
          <w:color w:val="0D0D0D" w:themeColor="text1" w:themeTint="F2"/>
          <w:sz w:val="21"/>
          <w:szCs w:val="21"/>
        </w:rPr>
      </w:pPr>
      <w:r w:rsidRPr="00CE42E3">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sidRPr="00CD317A">
        <w:rPr>
          <w:color w:val="0D0D0D" w:themeColor="text1" w:themeTint="F2"/>
          <w:sz w:val="21"/>
          <w:szCs w:val="21"/>
        </w:rPr>
        <w:t>. </w:t>
      </w:r>
    </w:p>
    <w:p w14:paraId="71510EF8" w14:textId="77777777" w:rsidR="00B414BD" w:rsidRDefault="00B414BD" w:rsidP="00B414BD">
      <w:pPr>
        <w:spacing w:after="240" w:line="240" w:lineRule="auto"/>
        <w:jc w:val="both"/>
        <w:textAlignment w:val="baseline"/>
        <w:rPr>
          <w:szCs w:val="20"/>
        </w:rPr>
      </w:pPr>
      <w:r w:rsidRPr="00CE42E3">
        <w:rPr>
          <w:szCs w:val="20"/>
        </w:rPr>
        <w:t>If you're the parent of a child who has earned income, a Custodial IRA can be a great way to teach the value of saving and investing. Besides getting a head start on saving, your child may be able to use the funds for college expenses—or even to buy a first home.</w:t>
      </w:r>
    </w:p>
    <w:p w14:paraId="4DB83A00" w14:textId="7AA91BC6" w:rsidR="00B414BD" w:rsidRPr="006D09D0" w:rsidRDefault="00B414BD" w:rsidP="00B414BD">
      <w:pPr>
        <w:spacing w:after="240" w:line="240" w:lineRule="auto"/>
        <w:jc w:val="both"/>
        <w:textAlignment w:val="baseline"/>
        <w:rPr>
          <w:szCs w:val="20"/>
        </w:rPr>
      </w:pPr>
      <w:r w:rsidRPr="00CE42E3">
        <w:rPr>
          <w:szCs w:val="20"/>
        </w:rPr>
        <w:t>There are several ways to</w:t>
      </w:r>
      <w:r>
        <w:rPr>
          <w:szCs w:val="20"/>
        </w:rPr>
        <w:t xml:space="preserve"> fund</w:t>
      </w:r>
      <w:r w:rsidRPr="00CE42E3">
        <w:rPr>
          <w:szCs w:val="20"/>
        </w:rPr>
        <w:t xml:space="preserve"> a Custodial Roth.  For example, you can potentially use your annual ability to gift to children or grandchildren to make this happen. </w:t>
      </w:r>
      <w:r>
        <w:rPr>
          <w:szCs w:val="20"/>
        </w:rPr>
        <w:br/>
      </w:r>
      <w:r w:rsidRPr="00CE42E3">
        <w:rPr>
          <w:b/>
          <w:szCs w:val="20"/>
        </w:rPr>
        <w:t xml:space="preserve">If your child or grandchild is earning money, call us and we can discuss your options for setting up </w:t>
      </w:r>
      <w:r>
        <w:rPr>
          <w:b/>
          <w:szCs w:val="20"/>
        </w:rPr>
        <w:t xml:space="preserve">a </w:t>
      </w:r>
      <w:r w:rsidRPr="00CE42E3">
        <w:rPr>
          <w:b/>
          <w:szCs w:val="20"/>
        </w:rPr>
        <w:t>Custodial</w:t>
      </w:r>
      <w:r w:rsidRPr="00CE42E3">
        <w:rPr>
          <w:b/>
          <w:szCs w:val="20"/>
        </w:rPr>
        <w:br/>
        <w:t>Roth.</w:t>
      </w:r>
    </w:p>
    <w:p w14:paraId="2F960039" w14:textId="6F3C6995" w:rsidR="00B414BD" w:rsidRPr="00926127" w:rsidRDefault="00B414BD" w:rsidP="00164D3E">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“Back-door”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IRA</w:t>
      </w:r>
    </w:p>
    <w:p w14:paraId="2893459A" w14:textId="3F9124D7" w:rsidR="00B414BD" w:rsidRPr="00CE42E3" w:rsidRDefault="00B414BD" w:rsidP="00B414BD">
      <w:pPr>
        <w:spacing w:after="240" w:line="240" w:lineRule="auto"/>
        <w:jc w:val="both"/>
        <w:textAlignment w:val="baseline"/>
        <w:rPr>
          <w:szCs w:val="20"/>
        </w:rPr>
      </w:pPr>
      <w:r w:rsidRPr="00CE42E3">
        <w:rPr>
          <w:szCs w:val="20"/>
        </w:rPr>
        <w:t>The traditional contribution ("front door") for Roth IRAs is currently not available for higher income earners. Married couples earning $</w:t>
      </w:r>
      <w:r>
        <w:rPr>
          <w:szCs w:val="20"/>
        </w:rPr>
        <w:t>20</w:t>
      </w:r>
      <w:r w:rsidR="00E119FB">
        <w:rPr>
          <w:szCs w:val="20"/>
        </w:rPr>
        <w:t>6</w:t>
      </w:r>
      <w:r w:rsidRPr="00CE42E3">
        <w:rPr>
          <w:szCs w:val="20"/>
        </w:rPr>
        <w:t>,000 or more and singles earning $13</w:t>
      </w:r>
      <w:r w:rsidR="00E119FB">
        <w:rPr>
          <w:szCs w:val="20"/>
        </w:rPr>
        <w:t>9</w:t>
      </w:r>
      <w:r w:rsidRPr="00CE42E3">
        <w:rPr>
          <w:szCs w:val="20"/>
        </w:rPr>
        <w:t>,000 or more in 20</w:t>
      </w:r>
      <w:r w:rsidR="00E119FB">
        <w:rPr>
          <w:szCs w:val="20"/>
        </w:rPr>
        <w:t>20</w:t>
      </w:r>
      <w:r>
        <w:rPr>
          <w:szCs w:val="20"/>
        </w:rPr>
        <w:t xml:space="preserve"> </w:t>
      </w:r>
      <w:r w:rsidRPr="00CE42E3">
        <w:rPr>
          <w:szCs w:val="20"/>
        </w:rPr>
        <w:t xml:space="preserve">are still </w:t>
      </w:r>
      <w:r>
        <w:rPr>
          <w:szCs w:val="20"/>
        </w:rPr>
        <w:t>fully excluded</w:t>
      </w:r>
      <w:r w:rsidRPr="00CE42E3">
        <w:rPr>
          <w:szCs w:val="20"/>
        </w:rPr>
        <w:t xml:space="preserve"> from contributing directly to Roth IRAs.</w:t>
      </w:r>
    </w:p>
    <w:p w14:paraId="34E1F5F2" w14:textId="57012D2B" w:rsidR="00B414BD" w:rsidRPr="00CE42E3" w:rsidRDefault="00B414BD" w:rsidP="00B414BD">
      <w:pPr>
        <w:spacing w:after="0" w:line="240" w:lineRule="auto"/>
        <w:jc w:val="both"/>
        <w:rPr>
          <w:szCs w:val="20"/>
        </w:rPr>
      </w:pPr>
      <w:r w:rsidRPr="00CE42E3">
        <w:rPr>
          <w:szCs w:val="20"/>
        </w:rPr>
        <w:t xml:space="preserve">In 2010, Congress changed the rules and since then anyone can convert a traditional IRA to a Roth IRA.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5BA505F3" w14:textId="77777777" w:rsidR="00B414BD" w:rsidRPr="00CE42E3" w:rsidRDefault="00B414BD" w:rsidP="004431C1">
      <w:pPr>
        <w:spacing w:after="0" w:line="240" w:lineRule="auto"/>
        <w:jc w:val="both"/>
        <w:rPr>
          <w:szCs w:val="20"/>
        </w:rPr>
      </w:pPr>
      <w:r w:rsidRPr="00CE42E3">
        <w:rPr>
          <w:szCs w:val="20"/>
        </w:rPr>
        <w:t xml:space="preserve">  </w:t>
      </w:r>
    </w:p>
    <w:p w14:paraId="64E22E97" w14:textId="77777777"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How Does the Backdoor</w:t>
      </w:r>
    </w:p>
    <w:p w14:paraId="54224599" w14:textId="174073F2"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R</w:t>
      </w:r>
      <w:r w:rsidR="001F7415">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oth</w:t>
      </w: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 xml:space="preserve"> IRA Conversion Work?</w:t>
      </w:r>
    </w:p>
    <w:p w14:paraId="41D4EA41" w14:textId="6B6A64CF" w:rsidR="00B414BD" w:rsidRPr="00673027" w:rsidRDefault="00B414BD" w:rsidP="00B414BD">
      <w:pPr>
        <w:spacing w:after="0" w:line="240" w:lineRule="auto"/>
        <w:jc w:val="both"/>
        <w:rPr>
          <w:sz w:val="16"/>
          <w:szCs w:val="20"/>
        </w:rPr>
      </w:pPr>
      <w:r w:rsidRPr="00637E91">
        <w:rPr>
          <w:szCs w:val="20"/>
        </w:rPr>
        <w:t>The Backdoor Roth conversion consists of two simple steps:</w:t>
      </w:r>
      <w:r>
        <w:rPr>
          <w:szCs w:val="20"/>
        </w:rPr>
        <w:br/>
      </w:r>
    </w:p>
    <w:p w14:paraId="43C4A7A6" w14:textId="3032B795" w:rsidR="00B414BD" w:rsidRPr="0008505F" w:rsidRDefault="00B414BD" w:rsidP="0008505F">
      <w:pPr>
        <w:pStyle w:val="ListParagraph"/>
        <w:numPr>
          <w:ilvl w:val="0"/>
          <w:numId w:val="4"/>
        </w:numPr>
        <w:spacing w:after="0" w:line="240" w:lineRule="auto"/>
        <w:ind w:left="360"/>
        <w:rPr>
          <w:rFonts w:asciiTheme="minorHAnsi" w:eastAsiaTheme="minorHAnsi" w:hAnsiTheme="minorHAnsi" w:cstheme="minorBidi"/>
          <w:color w:val="auto"/>
          <w:sz w:val="22"/>
          <w:szCs w:val="20"/>
        </w:rPr>
      </w:pPr>
      <w:r w:rsidRPr="00637E91">
        <w:rPr>
          <w:rFonts w:asciiTheme="minorHAnsi" w:eastAsiaTheme="minorHAnsi" w:hAnsiTheme="minorHAnsi" w:cstheme="minorBidi"/>
          <w:color w:val="auto"/>
          <w:sz w:val="22"/>
          <w:szCs w:val="20"/>
        </w:rPr>
        <w:t xml:space="preserve">You make a nondeductible contribution to your traditional IRA. </w:t>
      </w:r>
    </w:p>
    <w:p w14:paraId="6A6065F7" w14:textId="5A2EA9C9" w:rsidR="00B414BD" w:rsidRPr="00B87E0D" w:rsidRDefault="00B414BD" w:rsidP="00164D3E">
      <w:pPr>
        <w:pStyle w:val="ListParagraph"/>
        <w:numPr>
          <w:ilvl w:val="0"/>
          <w:numId w:val="4"/>
        </w:numPr>
        <w:spacing w:after="0" w:line="240" w:lineRule="auto"/>
        <w:ind w:left="360"/>
        <w:rPr>
          <w:rFonts w:asciiTheme="minorHAnsi" w:eastAsiaTheme="minorHAnsi" w:hAnsiTheme="minorHAnsi" w:cstheme="minorBidi"/>
          <w:color w:val="auto"/>
          <w:sz w:val="22"/>
          <w:szCs w:val="20"/>
        </w:rPr>
      </w:pPr>
      <w:r w:rsidRPr="00637E91">
        <w:rPr>
          <w:rFonts w:asciiTheme="minorHAnsi" w:eastAsiaTheme="minorHAnsi" w:hAnsiTheme="minorHAnsi" w:cstheme="minorBidi"/>
          <w:color w:val="auto"/>
          <w:sz w:val="22"/>
          <w:szCs w:val="20"/>
        </w:rPr>
        <w:t xml:space="preserve">Then after consulting with your financial advisor or tax </w:t>
      </w:r>
      <w:r w:rsidRPr="00164D3E">
        <w:rPr>
          <w:rFonts w:asciiTheme="minorHAnsi" w:eastAsiaTheme="minorHAnsi" w:hAnsiTheme="minorHAnsi" w:cstheme="minorBidi"/>
          <w:color w:val="auto"/>
          <w:sz w:val="22"/>
          <w:szCs w:val="20"/>
        </w:rPr>
        <w:t>profession</w:t>
      </w:r>
      <w:r w:rsidRPr="00164D3E">
        <w:rPr>
          <w:rFonts w:asciiTheme="minorHAnsi" w:eastAsiaTheme="minorHAnsi" w:hAnsiTheme="minorHAnsi"/>
          <w:szCs w:val="20"/>
        </w:rPr>
        <w:t>al, you convert this IRA into a Roth IRA</w:t>
      </w:r>
      <w:r w:rsidR="00BF2A42">
        <w:rPr>
          <w:rFonts w:asciiTheme="minorHAnsi" w:eastAsiaTheme="minorHAnsi" w:hAnsiTheme="minorHAnsi"/>
          <w:szCs w:val="20"/>
        </w:rPr>
        <w:t>.</w:t>
      </w:r>
    </w:p>
    <w:p w14:paraId="07EF83DE" w14:textId="77777777" w:rsidR="00B87E0D" w:rsidRPr="00B87E0D" w:rsidRDefault="00B87E0D" w:rsidP="00B87E0D">
      <w:pPr>
        <w:spacing w:after="0" w:line="240" w:lineRule="auto"/>
        <w:rPr>
          <w:szCs w:val="20"/>
        </w:rPr>
      </w:pPr>
    </w:p>
    <w:p w14:paraId="72D1D4B8" w14:textId="16DA91C4" w:rsidR="00B414BD" w:rsidRDefault="00B414BD" w:rsidP="00B414BD">
      <w:pPr>
        <w:spacing w:after="0" w:line="240" w:lineRule="auto"/>
        <w:jc w:val="both"/>
        <w:rPr>
          <w:szCs w:val="20"/>
        </w:rPr>
      </w:pPr>
      <w:r w:rsidRPr="00637E91">
        <w:rPr>
          <w:szCs w:val="20"/>
        </w:rPr>
        <w:t xml:space="preserve">There's one big caveat: This strategy </w:t>
      </w:r>
      <w:r w:rsidR="00BF2A42">
        <w:rPr>
          <w:szCs w:val="20"/>
        </w:rPr>
        <w:t xml:space="preserve">may </w:t>
      </w:r>
      <w:r w:rsidRPr="00637E91">
        <w:rPr>
          <w:szCs w:val="20"/>
        </w:rPr>
        <w:t>work best tax-wise for people who don't already have money in traditional IRAs. That's because in conversions, earnings and previously untaxed contributions in traditional IRAs are taxed—and that tax is figured based on all your traditional IRAs, even ones you aren't converting</w:t>
      </w:r>
      <w:r w:rsidR="00191DD4">
        <w:rPr>
          <w:szCs w:val="20"/>
        </w:rPr>
        <w:t>.</w:t>
      </w:r>
      <w:r w:rsidRPr="00637E91">
        <w:rPr>
          <w:szCs w:val="20"/>
        </w:rPr>
        <w:t xml:space="preserve"> (Please read the section on the Pro Rata Rule</w:t>
      </w:r>
      <w:r w:rsidR="00191DD4">
        <w:rPr>
          <w:szCs w:val="20"/>
        </w:rPr>
        <w:t>.)</w:t>
      </w:r>
    </w:p>
    <w:p w14:paraId="5EE31E5B" w14:textId="77777777" w:rsidR="004A3760" w:rsidRPr="00637E91" w:rsidRDefault="004A3760" w:rsidP="00B414BD">
      <w:pPr>
        <w:spacing w:after="0" w:line="240" w:lineRule="auto"/>
        <w:jc w:val="both"/>
        <w:rPr>
          <w:szCs w:val="20"/>
        </w:rPr>
      </w:pPr>
    </w:p>
    <w:p w14:paraId="425DDD63" w14:textId="5E7AE960" w:rsidR="00FC7F39" w:rsidRPr="00637E91" w:rsidRDefault="00B414BD" w:rsidP="00B414BD">
      <w:pPr>
        <w:spacing w:after="0" w:line="240" w:lineRule="auto"/>
        <w:jc w:val="both"/>
        <w:rPr>
          <w:szCs w:val="20"/>
        </w:rPr>
      </w:pPr>
      <w:r w:rsidRPr="00637E91">
        <w:rPr>
          <w:szCs w:val="20"/>
        </w:rPr>
        <w:t xml:space="preserve">For an investor who doesn't already hold any traditional IRAs, creating one and then quickly converting it into a Roth IRA </w:t>
      </w:r>
      <w:r w:rsidR="00BF2A42">
        <w:rPr>
          <w:szCs w:val="20"/>
        </w:rPr>
        <w:t>may</w:t>
      </w:r>
      <w:r w:rsidRPr="00637E91">
        <w:rPr>
          <w:szCs w:val="20"/>
        </w:rPr>
        <w:t xml:space="preserve"> incur little or no tax, because after a short holding period there's likely to be little or no appreciation or interest earned in the account.  However, if you already have money in traditional deductible IRAs, you could face a </w:t>
      </w:r>
    </w:p>
    <w:tbl>
      <w:tblPr>
        <w:tblStyle w:val="TableGrid"/>
        <w:tblpPr w:leftFromText="187" w:rightFromText="187" w:bottomFromText="144" w:vertAnchor="page" w:horzAnchor="margin" w:tblpY="556"/>
        <w:tblW w:w="10860" w:type="dxa"/>
        <w:tblBorders>
          <w:top w:val="single" w:sz="24" w:space="0" w:color="002060"/>
          <w:left w:val="single" w:sz="24" w:space="0" w:color="002060"/>
          <w:bottom w:val="single" w:sz="24" w:space="0" w:color="002060"/>
          <w:right w:val="single" w:sz="24" w:space="0" w:color="002060"/>
          <w:insideH w:val="single" w:sz="12" w:space="0" w:color="8E8C46"/>
          <w:insideV w:val="single" w:sz="12" w:space="0" w:color="8E8C46"/>
        </w:tblBorders>
        <w:tblLook w:val="04A0" w:firstRow="1" w:lastRow="0" w:firstColumn="1" w:lastColumn="0" w:noHBand="0" w:noVBand="1"/>
      </w:tblPr>
      <w:tblGrid>
        <w:gridCol w:w="6195"/>
        <w:gridCol w:w="4665"/>
      </w:tblGrid>
      <w:tr w:rsidR="00FC7F39" w:rsidRPr="00F1338F" w14:paraId="5846E894" w14:textId="77777777" w:rsidTr="00FC7F39">
        <w:trPr>
          <w:trHeight w:val="657"/>
        </w:trPr>
        <w:tc>
          <w:tcPr>
            <w:tcW w:w="10860" w:type="dxa"/>
            <w:gridSpan w:val="2"/>
            <w:tcBorders>
              <w:top w:val="single" w:sz="24" w:space="0" w:color="002060"/>
              <w:left w:val="single" w:sz="24" w:space="0" w:color="002060"/>
              <w:bottom w:val="nil"/>
              <w:right w:val="single" w:sz="24" w:space="0" w:color="002060"/>
            </w:tcBorders>
            <w:shd w:val="clear" w:color="auto" w:fill="2E74B5" w:themeFill="accent5" w:themeFillShade="BF"/>
            <w:vAlign w:val="center"/>
          </w:tcPr>
          <w:p w14:paraId="2602E639" w14:textId="48960066" w:rsidR="00FC7F39" w:rsidRPr="00F1338F" w:rsidRDefault="00FC7F39" w:rsidP="00FC7F39">
            <w:pPr>
              <w:shd w:val="clear" w:color="auto" w:fill="2E74B5" w:themeFill="accent5" w:themeFillShade="BF"/>
              <w:tabs>
                <w:tab w:val="left" w:pos="10452"/>
              </w:tabs>
              <w:spacing w:after="150"/>
              <w:ind w:right="8"/>
              <w:jc w:val="center"/>
              <w:rPr>
                <w:rFonts w:ascii="Century Gothic" w:eastAsia="Times New Roman" w:hAnsi="Century Gothic" w:cstheme="minorHAnsi"/>
                <w:b/>
                <w:bCs/>
                <w:i/>
                <w:color w:val="333333"/>
                <w:sz w:val="10"/>
                <w:szCs w:val="10"/>
              </w:rPr>
            </w:pPr>
            <w:bookmarkStart w:id="2" w:name="_Hlk2168486"/>
            <w:r w:rsidRPr="006B65F9">
              <w:rPr>
                <w:rFonts w:ascii="Century Gothic" w:eastAsia="Times New Roman" w:hAnsi="Century Gothic" w:cstheme="minorHAnsi"/>
                <w:b/>
                <w:bCs/>
                <w:i/>
                <w:color w:val="FFFF00"/>
                <w:sz w:val="44"/>
                <w:szCs w:val="10"/>
                <w14:shadow w14:blurRad="50800" w14:dist="38100" w14:dir="2700000" w14:sx="100000" w14:sy="100000" w14:kx="0" w14:ky="0" w14:algn="tl">
                  <w14:srgbClr w14:val="000000">
                    <w14:alpha w14:val="60000"/>
                  </w14:srgbClr>
                </w14:shadow>
              </w:rPr>
              <w:lastRenderedPageBreak/>
              <w:t>What’s New for 20</w:t>
            </w:r>
            <w:r w:rsidR="00E119FB">
              <w:rPr>
                <w:rFonts w:ascii="Century Gothic" w:eastAsia="Times New Roman" w:hAnsi="Century Gothic" w:cstheme="minorHAnsi"/>
                <w:b/>
                <w:bCs/>
                <w:i/>
                <w:color w:val="FFFF00"/>
                <w:sz w:val="44"/>
                <w:szCs w:val="10"/>
                <w14:shadow w14:blurRad="50800" w14:dist="38100" w14:dir="2700000" w14:sx="100000" w14:sy="100000" w14:kx="0" w14:ky="0" w14:algn="tl">
                  <w14:srgbClr w14:val="000000">
                    <w14:alpha w14:val="60000"/>
                  </w14:srgbClr>
                </w14:shadow>
              </w:rPr>
              <w:t>20</w:t>
            </w:r>
          </w:p>
        </w:tc>
      </w:tr>
      <w:tr w:rsidR="00FC7F39" w:rsidRPr="00172787" w14:paraId="6E795556" w14:textId="77777777" w:rsidTr="00E846D0">
        <w:trPr>
          <w:trHeight w:val="975"/>
        </w:trPr>
        <w:tc>
          <w:tcPr>
            <w:tcW w:w="10860" w:type="dxa"/>
            <w:gridSpan w:val="2"/>
            <w:tcBorders>
              <w:top w:val="nil"/>
            </w:tcBorders>
            <w:shd w:val="clear" w:color="auto" w:fill="auto"/>
          </w:tcPr>
          <w:p w14:paraId="5E86EDDC" w14:textId="77777777" w:rsidR="00FC7F39" w:rsidRPr="00E846D0" w:rsidRDefault="00FC7F39" w:rsidP="00FC7F39">
            <w:pPr>
              <w:shd w:val="clear" w:color="auto" w:fill="FFFFFF"/>
              <w:tabs>
                <w:tab w:val="left" w:pos="10452"/>
              </w:tabs>
              <w:spacing w:after="150"/>
              <w:ind w:right="8"/>
              <w:jc w:val="center"/>
              <w:rPr>
                <w:rFonts w:ascii="Arial Black" w:eastAsia="Times New Roman" w:hAnsi="Arial Black" w:cstheme="minorHAnsi"/>
                <w:b/>
                <w:bCs/>
                <w:color w:val="00B050"/>
                <w:sz w:val="24"/>
                <w:szCs w:val="26"/>
              </w:rPr>
            </w:pPr>
            <w:r w:rsidRPr="00944A33">
              <w:rPr>
                <w:rFonts w:ascii="Arial Narrow" w:eastAsia="Times New Roman" w:hAnsi="Arial Narrow" w:cstheme="minorHAnsi"/>
                <w:b/>
                <w:bCs/>
                <w:color w:val="333333"/>
                <w:sz w:val="10"/>
                <w:szCs w:val="10"/>
              </w:rPr>
              <w:br/>
            </w:r>
            <w:r w:rsidRPr="00E846D0">
              <w:rPr>
                <w:rFonts w:ascii="Arial Black" w:eastAsia="Times New Roman" w:hAnsi="Arial Black" w:cstheme="minorHAnsi"/>
                <w:b/>
                <w:bCs/>
                <w:color w:val="00B050"/>
                <w:sz w:val="24"/>
                <w:szCs w:val="26"/>
              </w:rPr>
              <w:t>IRA maximums were raised from $5,500 to $6,000</w:t>
            </w:r>
            <w:r w:rsidR="00E119FB" w:rsidRPr="00E846D0">
              <w:rPr>
                <w:rFonts w:ascii="Arial Black" w:eastAsia="Times New Roman" w:hAnsi="Arial Black" w:cstheme="minorHAnsi"/>
                <w:b/>
                <w:bCs/>
                <w:color w:val="00B050"/>
                <w:sz w:val="24"/>
                <w:szCs w:val="26"/>
              </w:rPr>
              <w:t xml:space="preserve"> in 2019</w:t>
            </w:r>
            <w:r w:rsidRPr="00E846D0">
              <w:rPr>
                <w:rFonts w:ascii="Arial Black" w:eastAsia="Times New Roman" w:hAnsi="Arial Black" w:cstheme="minorHAnsi"/>
                <w:b/>
                <w:bCs/>
                <w:color w:val="00B050"/>
                <w:sz w:val="24"/>
                <w:szCs w:val="26"/>
              </w:rPr>
              <w:t>.</w:t>
            </w:r>
          </w:p>
          <w:p w14:paraId="335567BC" w14:textId="428BE63D" w:rsidR="00E119FB" w:rsidRPr="000E4BDF" w:rsidRDefault="00E119FB" w:rsidP="00FC7F39">
            <w:pPr>
              <w:shd w:val="clear" w:color="auto" w:fill="FFFFFF"/>
              <w:tabs>
                <w:tab w:val="left" w:pos="10452"/>
              </w:tabs>
              <w:spacing w:after="150"/>
              <w:ind w:right="8"/>
              <w:jc w:val="center"/>
              <w:rPr>
                <w:rFonts w:ascii="Arial Black" w:eastAsia="Times New Roman" w:hAnsi="Arial Black" w:cstheme="minorHAnsi"/>
                <w:b/>
                <w:bCs/>
                <w:color w:val="333333"/>
                <w:sz w:val="26"/>
                <w:szCs w:val="26"/>
              </w:rPr>
            </w:pPr>
            <w:r w:rsidRPr="00E846D0">
              <w:rPr>
                <w:rFonts w:ascii="Arial Black" w:eastAsia="Times New Roman" w:hAnsi="Arial Black" w:cstheme="minorHAnsi"/>
                <w:b/>
                <w:bCs/>
                <w:color w:val="00B050"/>
                <w:sz w:val="24"/>
                <w:szCs w:val="26"/>
              </w:rPr>
              <w:t>They remain at $6,000 for 2020.</w:t>
            </w:r>
          </w:p>
        </w:tc>
      </w:tr>
      <w:tr w:rsidR="00FC7F39" w:rsidRPr="00172787" w14:paraId="1011E6B1" w14:textId="77777777" w:rsidTr="00FC7F39">
        <w:trPr>
          <w:trHeight w:val="2311"/>
        </w:trPr>
        <w:tc>
          <w:tcPr>
            <w:tcW w:w="6195" w:type="dxa"/>
            <w:shd w:val="clear" w:color="auto" w:fill="FFFFFF" w:themeFill="background1"/>
          </w:tcPr>
          <w:p w14:paraId="3FCBAD5E" w14:textId="77777777"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ED7D31" w:themeColor="accent2"/>
                <w:sz w:val="24"/>
                <w:szCs w:val="24"/>
              </w:rPr>
            </w:pPr>
            <w:r w:rsidRPr="000E4BDF">
              <w:rPr>
                <w:rFonts w:ascii="Arial Narrow" w:eastAsia="Times New Roman" w:hAnsi="Arial Narrow" w:cstheme="minorHAnsi"/>
                <w:b/>
                <w:bCs/>
                <w:color w:val="ED7D31" w:themeColor="accent2"/>
                <w:sz w:val="24"/>
                <w:szCs w:val="24"/>
              </w:rPr>
              <w:t>Modified AGI limit for traditional IRA contributions increased.</w:t>
            </w:r>
          </w:p>
          <w:p w14:paraId="03C6C2FF" w14:textId="77777777" w:rsidR="00FC7F39" w:rsidRPr="0047606A" w:rsidRDefault="00FC7F39" w:rsidP="00FC7F39">
            <w:pPr>
              <w:shd w:val="clear" w:color="auto" w:fill="FFFFFF"/>
              <w:tabs>
                <w:tab w:val="left" w:pos="10452"/>
              </w:tabs>
              <w:spacing w:after="150"/>
              <w:ind w:right="8"/>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bCs/>
                <w:color w:val="000000" w:themeColor="text1"/>
                <w:sz w:val="20"/>
                <w:szCs w:val="20"/>
              </w:rPr>
              <w:t>I</w:t>
            </w:r>
            <w:r w:rsidRPr="0047606A">
              <w:rPr>
                <w:rFonts w:ascii="Arial Narrow" w:eastAsia="Times New Roman" w:hAnsi="Arial Narrow" w:cstheme="minorHAnsi"/>
                <w:color w:val="000000" w:themeColor="text1"/>
                <w:sz w:val="20"/>
                <w:szCs w:val="20"/>
              </w:rPr>
              <w:t>f you are covered by a retirement plan at work, your deduction for contributions to a traditional IRA is reduced (phased out) if your modified AGI is:</w:t>
            </w:r>
          </w:p>
          <w:p w14:paraId="7B336DED" w14:textId="633E4E58"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More than $10</w:t>
            </w:r>
            <w:r w:rsidR="00E846D0">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but less than $12</w:t>
            </w:r>
            <w:r w:rsidR="00E846D0">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for a married couple filing a joint return or a qualifying widow(er),</w:t>
            </w:r>
          </w:p>
          <w:p w14:paraId="7F0D0D43" w14:textId="592BB1AB"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More than $6</w:t>
            </w:r>
            <w:r w:rsidR="00E846D0">
              <w:rPr>
                <w:rFonts w:ascii="Arial Narrow" w:eastAsia="Times New Roman" w:hAnsi="Arial Narrow" w:cstheme="minorHAnsi"/>
                <w:color w:val="000000" w:themeColor="text1"/>
                <w:sz w:val="20"/>
                <w:szCs w:val="20"/>
              </w:rPr>
              <w:t>5</w:t>
            </w:r>
            <w:r w:rsidRPr="0047606A">
              <w:rPr>
                <w:rFonts w:ascii="Arial Narrow" w:eastAsia="Times New Roman" w:hAnsi="Arial Narrow" w:cstheme="minorHAnsi"/>
                <w:color w:val="000000" w:themeColor="text1"/>
                <w:sz w:val="20"/>
                <w:szCs w:val="20"/>
              </w:rPr>
              <w:t>,000 but less than $7</w:t>
            </w:r>
            <w:r w:rsidR="00E846D0">
              <w:rPr>
                <w:rFonts w:ascii="Arial Narrow" w:eastAsia="Times New Roman" w:hAnsi="Arial Narrow" w:cstheme="minorHAnsi"/>
                <w:color w:val="000000" w:themeColor="text1"/>
                <w:sz w:val="20"/>
                <w:szCs w:val="20"/>
              </w:rPr>
              <w:t>5</w:t>
            </w:r>
            <w:r w:rsidRPr="0047606A">
              <w:rPr>
                <w:rFonts w:ascii="Arial Narrow" w:eastAsia="Times New Roman" w:hAnsi="Arial Narrow" w:cstheme="minorHAnsi"/>
                <w:color w:val="000000" w:themeColor="text1"/>
                <w:sz w:val="20"/>
                <w:szCs w:val="20"/>
              </w:rPr>
              <w:t>,000 for a single individual or head of household, or</w:t>
            </w:r>
          </w:p>
          <w:p w14:paraId="32C2C065" w14:textId="77777777" w:rsidR="00FC7F39" w:rsidRPr="00944A33" w:rsidRDefault="00FC7F39" w:rsidP="00FC7F39">
            <w:pPr>
              <w:numPr>
                <w:ilvl w:val="0"/>
                <w:numId w:val="5"/>
              </w:numPr>
              <w:shd w:val="clear" w:color="auto" w:fill="FFFFFF"/>
              <w:tabs>
                <w:tab w:val="num" w:pos="720"/>
                <w:tab w:val="left" w:pos="10452"/>
              </w:tabs>
              <w:spacing w:after="75"/>
              <w:ind w:left="150" w:right="8" w:hanging="180"/>
              <w:jc w:val="both"/>
              <w:rPr>
                <w:rFonts w:ascii="Arial Narrow" w:eastAsia="Times New Roman" w:hAnsi="Arial Narrow" w:cstheme="minorHAnsi"/>
                <w:color w:val="333333"/>
                <w:szCs w:val="24"/>
              </w:rPr>
            </w:pPr>
            <w:r w:rsidRPr="0047606A">
              <w:rPr>
                <w:rFonts w:ascii="Arial Narrow" w:eastAsia="Times New Roman" w:hAnsi="Arial Narrow" w:cstheme="minorHAnsi"/>
                <w:color w:val="000000" w:themeColor="text1"/>
                <w:sz w:val="20"/>
                <w:szCs w:val="20"/>
              </w:rPr>
              <w:t>Less than $10,000 for a married individual filing a separate return.</w:t>
            </w:r>
          </w:p>
        </w:tc>
        <w:tc>
          <w:tcPr>
            <w:tcW w:w="4665" w:type="dxa"/>
            <w:shd w:val="clear" w:color="auto" w:fill="auto"/>
          </w:tcPr>
          <w:p w14:paraId="745BC2AC" w14:textId="77777777"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9933FF"/>
                <w:sz w:val="24"/>
                <w:szCs w:val="24"/>
              </w:rPr>
            </w:pPr>
            <w:r w:rsidRPr="000E4BDF">
              <w:rPr>
                <w:rFonts w:ascii="Arial Narrow" w:eastAsia="Times New Roman" w:hAnsi="Arial Narrow" w:cstheme="minorHAnsi"/>
                <w:b/>
                <w:bCs/>
                <w:color w:val="9933FF"/>
                <w:sz w:val="24"/>
                <w:szCs w:val="24"/>
              </w:rPr>
              <w:t xml:space="preserve">Modified AGI limit for certain </w:t>
            </w:r>
            <w:r w:rsidRPr="000E4BDF">
              <w:rPr>
                <w:rFonts w:ascii="Arial Narrow" w:eastAsia="Times New Roman" w:hAnsi="Arial Narrow" w:cstheme="minorHAnsi"/>
                <w:b/>
                <w:bCs/>
                <w:color w:val="9933FF"/>
                <w:sz w:val="24"/>
                <w:szCs w:val="24"/>
              </w:rPr>
              <w:br/>
              <w:t>married individuals increased.</w:t>
            </w:r>
          </w:p>
          <w:p w14:paraId="7F483478" w14:textId="59CE4FA5" w:rsidR="00FC7F39" w:rsidRPr="0047606A" w:rsidRDefault="00FC7F39" w:rsidP="00FC7F39">
            <w:pPr>
              <w:shd w:val="clear" w:color="auto" w:fill="FFFFFF" w:themeFill="background1"/>
              <w:tabs>
                <w:tab w:val="left" w:pos="10452"/>
              </w:tabs>
              <w:spacing w:after="150"/>
              <w:ind w:right="8"/>
              <w:jc w:val="both"/>
              <w:rPr>
                <w:rFonts w:ascii="Arial Narrow" w:eastAsia="Times New Roman" w:hAnsi="Arial Narrow" w:cstheme="minorHAnsi"/>
                <w:color w:val="333333"/>
                <w:sz w:val="20"/>
                <w:szCs w:val="20"/>
              </w:rPr>
            </w:pPr>
            <w:r w:rsidRPr="0047606A">
              <w:rPr>
                <w:rFonts w:ascii="Arial Narrow" w:eastAsia="Times New Roman" w:hAnsi="Arial Narrow" w:cstheme="minorHAnsi"/>
                <w:color w:val="000000" w:themeColor="text1"/>
                <w:sz w:val="20"/>
                <w:szCs w:val="20"/>
              </w:rPr>
              <w:t>If you’re married and your spouse is covered by a retirement plan at work and you aren’t, and you live with your spouse or file a joint return, your deduction is phased out if your modified AGI is more than $19</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(up from $1</w:t>
            </w:r>
            <w:r w:rsidR="00E846D0">
              <w:rPr>
                <w:rFonts w:ascii="Arial Narrow" w:eastAsia="Times New Roman" w:hAnsi="Arial Narrow" w:cstheme="minorHAnsi"/>
                <w:color w:val="000000" w:themeColor="text1"/>
                <w:sz w:val="20"/>
                <w:szCs w:val="20"/>
              </w:rPr>
              <w:t>93</w:t>
            </w:r>
            <w:r w:rsidRPr="0047606A">
              <w:rPr>
                <w:rFonts w:ascii="Arial Narrow" w:eastAsia="Times New Roman" w:hAnsi="Arial Narrow" w:cstheme="minorHAnsi"/>
                <w:color w:val="000000" w:themeColor="text1"/>
                <w:sz w:val="20"/>
                <w:szCs w:val="20"/>
              </w:rPr>
              <w:t>,000 for 201</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 but less than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(up from $</w:t>
            </w:r>
            <w:r w:rsidR="00E846D0">
              <w:rPr>
                <w:rFonts w:ascii="Arial Narrow" w:eastAsia="Times New Roman" w:hAnsi="Arial Narrow" w:cstheme="minorHAnsi"/>
                <w:color w:val="000000" w:themeColor="text1"/>
                <w:sz w:val="20"/>
                <w:szCs w:val="20"/>
              </w:rPr>
              <w:t>203</w:t>
            </w:r>
            <w:r w:rsidRPr="0047606A">
              <w:rPr>
                <w:rFonts w:ascii="Arial Narrow" w:eastAsia="Times New Roman" w:hAnsi="Arial Narrow" w:cstheme="minorHAnsi"/>
                <w:color w:val="000000" w:themeColor="text1"/>
                <w:sz w:val="20"/>
                <w:szCs w:val="20"/>
              </w:rPr>
              <w:t>,000 for 201</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 If your modified AGI is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or more, you can’t take a deduction for contributions to a traditional IRA.</w:t>
            </w:r>
          </w:p>
        </w:tc>
      </w:tr>
      <w:tr w:rsidR="00FC7F39" w:rsidRPr="00172787" w14:paraId="362E6239" w14:textId="77777777" w:rsidTr="00E846D0">
        <w:trPr>
          <w:trHeight w:val="2322"/>
        </w:trPr>
        <w:tc>
          <w:tcPr>
            <w:tcW w:w="10860" w:type="dxa"/>
            <w:gridSpan w:val="2"/>
            <w:tcBorders>
              <w:bottom w:val="single" w:sz="24" w:space="0" w:color="002060"/>
            </w:tcBorders>
            <w:shd w:val="clear" w:color="auto" w:fill="FFFFFF" w:themeFill="background1"/>
          </w:tcPr>
          <w:p w14:paraId="19CBDAF6" w14:textId="5835B675"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00B0F0"/>
                <w:sz w:val="24"/>
                <w:szCs w:val="24"/>
              </w:rPr>
            </w:pPr>
            <w:r w:rsidRPr="000E4BDF">
              <w:rPr>
                <w:rFonts w:ascii="Arial Narrow" w:eastAsia="Times New Roman" w:hAnsi="Arial Narrow" w:cstheme="minorHAnsi"/>
                <w:b/>
                <w:bCs/>
                <w:color w:val="00B0F0"/>
                <w:sz w:val="24"/>
                <w:szCs w:val="24"/>
              </w:rPr>
              <w:t>Modified AGI limit for Roth IRA contributions increased.</w:t>
            </w:r>
          </w:p>
          <w:p w14:paraId="3C9BCDDC" w14:textId="77777777" w:rsidR="00FC7F39" w:rsidRPr="0047606A" w:rsidRDefault="00FC7F39" w:rsidP="00FC7F39">
            <w:pPr>
              <w:shd w:val="clear" w:color="auto" w:fill="FFFFFF" w:themeFill="background1"/>
              <w:tabs>
                <w:tab w:val="left" w:pos="10452"/>
              </w:tabs>
              <w:spacing w:after="150"/>
              <w:ind w:right="8"/>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Roth IRA contribution limit is reduced (phased out) in the following situations.</w:t>
            </w:r>
          </w:p>
          <w:p w14:paraId="40353721" w14:textId="643C31C8"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married filing jointly or qualifying widow(er) and your modified AGI is at least $19</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You can’t make a Roth IRA contribution if your modified AGI is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or more.</w:t>
            </w:r>
          </w:p>
          <w:p w14:paraId="5490CE65" w14:textId="3C31ADBC"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single, head of household, or married filing separately and you didn’t live with your spouse at any time in 20</w:t>
            </w:r>
            <w:r w:rsidR="00E846D0">
              <w:rPr>
                <w:rFonts w:ascii="Arial Narrow" w:eastAsia="Times New Roman" w:hAnsi="Arial Narrow" w:cstheme="minorHAnsi"/>
                <w:color w:val="000000" w:themeColor="text1"/>
                <w:sz w:val="20"/>
                <w:szCs w:val="20"/>
              </w:rPr>
              <w:t>20</w:t>
            </w:r>
            <w:r w:rsidRPr="0047606A">
              <w:rPr>
                <w:rFonts w:ascii="Arial Narrow" w:eastAsia="Times New Roman" w:hAnsi="Arial Narrow" w:cstheme="minorHAnsi"/>
                <w:color w:val="000000" w:themeColor="text1"/>
                <w:sz w:val="20"/>
                <w:szCs w:val="20"/>
              </w:rPr>
              <w:t xml:space="preserve"> and your modified AGI is at least $12</w:t>
            </w:r>
            <w:r w:rsidR="00ED7B35">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You can’t make a Roth IRA contribution if your modified AGI is $13</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,000 or more.</w:t>
            </w:r>
          </w:p>
          <w:p w14:paraId="524AD7A0" w14:textId="77777777"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married filing separately, you lived with your spouse at any time during the year, and your modified AGI is more than zero. You can’t make a Roth IRA contribution if your modified AGI is $10,000 or more.</w:t>
            </w:r>
          </w:p>
          <w:p w14:paraId="1C3EF449" w14:textId="0792D2EE" w:rsidR="00FC7F39" w:rsidRPr="00944A33" w:rsidRDefault="00FC7F39" w:rsidP="00FC7F39">
            <w:pPr>
              <w:shd w:val="clear" w:color="auto" w:fill="FFFFFF"/>
              <w:tabs>
                <w:tab w:val="left" w:pos="10452"/>
              </w:tabs>
              <w:ind w:left="150" w:right="8"/>
              <w:jc w:val="right"/>
              <w:rPr>
                <w:rFonts w:ascii="Arial Narrow" w:eastAsia="Times New Roman" w:hAnsi="Arial Narrow" w:cstheme="minorHAnsi"/>
                <w:color w:val="333333"/>
                <w:szCs w:val="24"/>
              </w:rPr>
            </w:pPr>
            <w:r w:rsidRPr="00944A33">
              <w:rPr>
                <w:rFonts w:ascii="Arial Narrow" w:eastAsia="Times New Roman" w:hAnsi="Arial Narrow" w:cstheme="minorHAnsi"/>
                <w:bCs/>
                <w:i/>
                <w:color w:val="484952"/>
                <w:sz w:val="4"/>
                <w:szCs w:val="24"/>
              </w:rPr>
              <w:br/>
            </w:r>
            <w:r w:rsidRPr="001C128B">
              <w:rPr>
                <w:rFonts w:ascii="Arial Narrow" w:eastAsia="Times New Roman" w:hAnsi="Arial Narrow" w:cstheme="minorHAnsi"/>
                <w:bCs/>
                <w:i/>
                <w:color w:val="484952"/>
                <w:sz w:val="16"/>
                <w:szCs w:val="24"/>
              </w:rPr>
              <w:t>Source: irs.gov             *AGI (Adjusted gr</w:t>
            </w:r>
            <w:r w:rsidR="009F4BD6">
              <w:rPr>
                <w:rFonts w:ascii="Arial Narrow" w:eastAsia="Times New Roman" w:hAnsi="Arial Narrow" w:cstheme="minorHAnsi"/>
                <w:bCs/>
                <w:i/>
                <w:color w:val="484952"/>
                <w:sz w:val="16"/>
                <w:szCs w:val="24"/>
              </w:rPr>
              <w:t>oss</w:t>
            </w:r>
            <w:r w:rsidRPr="001C128B">
              <w:rPr>
                <w:rFonts w:ascii="Arial Narrow" w:eastAsia="Times New Roman" w:hAnsi="Arial Narrow" w:cstheme="minorHAnsi"/>
                <w:bCs/>
                <w:i/>
                <w:color w:val="484952"/>
                <w:sz w:val="16"/>
                <w:szCs w:val="24"/>
              </w:rPr>
              <w:t xml:space="preserve"> income)</w:t>
            </w:r>
          </w:p>
        </w:tc>
      </w:tr>
    </w:tbl>
    <w:bookmarkEnd w:id="2"/>
    <w:p w14:paraId="39C2060A" w14:textId="2C7AE60C" w:rsidR="00B414BD" w:rsidRDefault="00FC7F39" w:rsidP="00B414BD">
      <w:pPr>
        <w:spacing w:after="0" w:line="240" w:lineRule="auto"/>
        <w:jc w:val="both"/>
        <w:rPr>
          <w:szCs w:val="20"/>
        </w:rPr>
      </w:pPr>
      <w:r w:rsidRPr="00637E91">
        <w:rPr>
          <w:szCs w:val="20"/>
        </w:rPr>
        <w:t xml:space="preserve"> </w:t>
      </w:r>
      <w:r w:rsidR="00B414BD" w:rsidRPr="00637E91">
        <w:rPr>
          <w:szCs w:val="20"/>
        </w:rPr>
        <w:t xml:space="preserve">far higher tax bill on the conversion (again, this is covered later in the section on the Pro Rata Rule). </w:t>
      </w:r>
    </w:p>
    <w:p w14:paraId="636E842C" w14:textId="77777777" w:rsidR="00B414BD" w:rsidRPr="00CA7B48" w:rsidRDefault="00B414BD" w:rsidP="00B414BD">
      <w:pPr>
        <w:spacing w:after="0" w:line="240" w:lineRule="auto"/>
        <w:jc w:val="both"/>
        <w:rPr>
          <w:sz w:val="18"/>
          <w:szCs w:val="20"/>
        </w:rPr>
      </w:pPr>
    </w:p>
    <w:p w14:paraId="21D18452" w14:textId="58F68D3D" w:rsidR="00B414BD" w:rsidRPr="00E846D0" w:rsidRDefault="00B414BD" w:rsidP="00B414BD">
      <w:pPr>
        <w:spacing w:after="0" w:line="240" w:lineRule="auto"/>
        <w:jc w:val="both"/>
        <w:rPr>
          <w:b/>
          <w:sz w:val="20"/>
          <w:szCs w:val="20"/>
        </w:rPr>
      </w:pPr>
      <w:r w:rsidRPr="00E846D0">
        <w:rPr>
          <w:b/>
          <w:sz w:val="20"/>
          <w:szCs w:val="20"/>
        </w:rPr>
        <w:t>If you choose to attempt a backdoor Roth IRA conversion, please consult a knowledgeable tax planner prior to doing so because the rules for Roth conversions can be complicated.</w:t>
      </w:r>
    </w:p>
    <w:p w14:paraId="05954AC9" w14:textId="77777777" w:rsidR="00CA7B48" w:rsidRPr="000E4BDF" w:rsidRDefault="00CA7B48" w:rsidP="00B414BD">
      <w:pPr>
        <w:spacing w:after="0" w:line="240" w:lineRule="auto"/>
        <w:jc w:val="both"/>
        <w:rPr>
          <w:b/>
          <w:szCs w:val="20"/>
        </w:rPr>
      </w:pPr>
    </w:p>
    <w:p w14:paraId="260D9340" w14:textId="377398B3" w:rsidR="00B414BD" w:rsidRPr="004431C1"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Example of a Backdoor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001F7415"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IRA</w:t>
      </w:r>
    </w:p>
    <w:p w14:paraId="4355A684" w14:textId="7ACC2ABE" w:rsidR="00B414BD" w:rsidRDefault="006C4CEA" w:rsidP="00B414BD">
      <w:pPr>
        <w:spacing w:after="0" w:line="240" w:lineRule="auto"/>
        <w:jc w:val="both"/>
        <w:rPr>
          <w:szCs w:val="20"/>
        </w:rPr>
      </w:pPr>
      <w:r>
        <w:rPr>
          <w:szCs w:val="20"/>
        </w:rPr>
        <w:t>Bob</w:t>
      </w:r>
      <w:r w:rsidR="00B414BD" w:rsidRPr="00637E91">
        <w:rPr>
          <w:szCs w:val="20"/>
        </w:rPr>
        <w:t>, a high-income earner, decides on January 2nd to put $</w:t>
      </w:r>
      <w:r w:rsidR="00B414BD">
        <w:rPr>
          <w:szCs w:val="20"/>
        </w:rPr>
        <w:t>6</w:t>
      </w:r>
      <w:r w:rsidR="00B414BD" w:rsidRPr="00637E91">
        <w:rPr>
          <w:szCs w:val="20"/>
        </w:rPr>
        <w:t>,</w:t>
      </w:r>
      <w:r w:rsidR="00B414BD">
        <w:rPr>
          <w:szCs w:val="20"/>
        </w:rPr>
        <w:t>0</w:t>
      </w:r>
      <w:r w:rsidR="00B414BD" w:rsidRPr="00637E91">
        <w:rPr>
          <w:szCs w:val="20"/>
        </w:rPr>
        <w:t xml:space="preserve">00 into a traditional IRA.  </w:t>
      </w:r>
      <w:r>
        <w:rPr>
          <w:szCs w:val="20"/>
        </w:rPr>
        <w:t>Bob</w:t>
      </w:r>
      <w:r w:rsidR="00B414BD" w:rsidRPr="00637E91">
        <w:rPr>
          <w:szCs w:val="20"/>
        </w:rPr>
        <w:t>'s income is too high to be able to deduct these contributions from his taxes. After consulting with his financial advisor or tax advisor, he then converts the traditional IRAs to Roth IRAs completely tax-free. His income is too high for him to make a direct contribution into a Roth IRA, but there’s no income limit on conversions</w:t>
      </w:r>
      <w:r w:rsidR="000E4BDF">
        <w:rPr>
          <w:szCs w:val="20"/>
        </w:rPr>
        <w:t>.</w:t>
      </w:r>
      <w:r w:rsidR="00B414BD" w:rsidRPr="00637E91">
        <w:rPr>
          <w:szCs w:val="20"/>
        </w:rPr>
        <w:t xml:space="preserve"> Since </w:t>
      </w:r>
      <w:r>
        <w:rPr>
          <w:szCs w:val="20"/>
        </w:rPr>
        <w:t>Bob</w:t>
      </w:r>
      <w:r w:rsidR="00B414BD" w:rsidRPr="00637E91">
        <w:rPr>
          <w:szCs w:val="20"/>
        </w:rPr>
        <w:t xml:space="preserve"> couldn’t deduct the contribution anyway, </w:t>
      </w:r>
      <w:r w:rsidR="000E4BDF">
        <w:rPr>
          <w:szCs w:val="20"/>
        </w:rPr>
        <w:t>he</w:t>
      </w:r>
      <w:r w:rsidR="00B414BD" w:rsidRPr="00637E91">
        <w:rPr>
          <w:szCs w:val="20"/>
        </w:rPr>
        <w:t xml:space="preserve"> might as well get the advantage of never paying taxes on that money again available through the Roth IRA.</w:t>
      </w:r>
    </w:p>
    <w:p w14:paraId="47E1EA9F" w14:textId="77777777" w:rsidR="00B414BD" w:rsidRPr="00B82815" w:rsidRDefault="00B414BD" w:rsidP="00B414BD">
      <w:pPr>
        <w:spacing w:after="0" w:line="240" w:lineRule="auto"/>
        <w:jc w:val="both"/>
        <w:rPr>
          <w:sz w:val="10"/>
          <w:szCs w:val="20"/>
        </w:rPr>
      </w:pPr>
    </w:p>
    <w:tbl>
      <w:tblPr>
        <w:tblStyle w:val="ListTable3-Accent11"/>
        <w:tblpPr w:leftFromText="187" w:rightFromText="187" w:topFromText="58" w:bottomFromText="58" w:vertAnchor="text" w:horzAnchor="margin" w:tblpY="-59"/>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FC7F39" w:rsidRPr="00FF27DA" w14:paraId="379969C8" w14:textId="77777777" w:rsidTr="00FC7F39">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bottom w:val="none" w:sz="0" w:space="0" w:color="auto"/>
              <w:right w:val="none" w:sz="0" w:space="0" w:color="auto"/>
            </w:tcBorders>
            <w:shd w:val="clear" w:color="auto" w:fill="1F3864" w:themeFill="accent1" w:themeFillShade="80"/>
          </w:tcPr>
          <w:p w14:paraId="4250FA26" w14:textId="77777777" w:rsidR="00FC7F39" w:rsidRPr="004E3DF9" w:rsidRDefault="00FC7F39" w:rsidP="00FC7F39">
            <w:pPr>
              <w:jc w:val="center"/>
              <w:rPr>
                <w:rFonts w:eastAsia="Times New Roman" w:cs="Times New Roman"/>
                <w:color w:val="0D0D0D" w:themeColor="text1" w:themeTint="F2"/>
                <w:sz w:val="20"/>
                <w:szCs w:val="20"/>
              </w:rPr>
            </w:pPr>
            <w:r>
              <w:rPr>
                <w:rFonts w:eastAsia="Times New Roman" w:cs="Times New Roman"/>
                <w:sz w:val="24"/>
                <w:szCs w:val="24"/>
              </w:rPr>
              <w:t>Bob</w:t>
            </w:r>
            <w:r w:rsidRPr="004E3DF9">
              <w:rPr>
                <w:rFonts w:eastAsia="Times New Roman" w:cs="Times New Roman"/>
                <w:sz w:val="24"/>
                <w:szCs w:val="24"/>
              </w:rPr>
              <w:t xml:space="preserve">'s Backdoor Roth IRA Conversion </w:t>
            </w:r>
            <w:r>
              <w:rPr>
                <w:rFonts w:eastAsia="Times New Roman" w:cs="Times New Roman"/>
                <w:sz w:val="24"/>
                <w:szCs w:val="24"/>
              </w:rPr>
              <w:br/>
            </w:r>
            <w:r w:rsidRPr="004E3DF9">
              <w:rPr>
                <w:rFonts w:eastAsia="Times New Roman" w:cs="Times New Roman"/>
                <w:sz w:val="24"/>
                <w:szCs w:val="24"/>
              </w:rPr>
              <w:t>without Additional IRAs</w:t>
            </w:r>
          </w:p>
        </w:tc>
      </w:tr>
      <w:tr w:rsidR="00FC7F39" w:rsidRPr="00FF27DA" w14:paraId="6A1F6F2E" w14:textId="77777777" w:rsidTr="00FC7F3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shd w:val="clear" w:color="auto" w:fill="EDEDED" w:themeFill="accent3" w:themeFillTint="33"/>
          </w:tcPr>
          <w:p w14:paraId="137BFFAA" w14:textId="77777777" w:rsidR="00FC7F39" w:rsidRPr="004E3DF9" w:rsidRDefault="00FC7F39" w:rsidP="00FC7F39">
            <w:pPr>
              <w:jc w:val="center"/>
              <w:rPr>
                <w:rFonts w:eastAsia="Times New Roman" w:cs="Times New Roman"/>
                <w:color w:val="0D0D0D" w:themeColor="text1" w:themeTint="F2"/>
                <w:sz w:val="20"/>
                <w:szCs w:val="20"/>
              </w:rPr>
            </w:pPr>
            <w:r w:rsidRPr="004E3DF9">
              <w:rPr>
                <w:rFonts w:eastAsia="Times New Roman" w:cs="Times New Roman"/>
                <w:color w:val="0D0D0D" w:themeColor="text1" w:themeTint="F2"/>
                <w:sz w:val="20"/>
                <w:szCs w:val="20"/>
              </w:rPr>
              <w:t xml:space="preserve">Contribution to </w:t>
            </w:r>
            <w:r w:rsidRPr="004E3DF9">
              <w:rPr>
                <w:rFonts w:eastAsia="Times New Roman" w:cs="Times New Roman"/>
                <w:color w:val="0D0D0D" w:themeColor="text1" w:themeTint="F2"/>
                <w:sz w:val="20"/>
                <w:szCs w:val="20"/>
              </w:rPr>
              <w:br/>
              <w:t>Non- deductible traditional IRA</w:t>
            </w:r>
          </w:p>
        </w:tc>
        <w:tc>
          <w:tcPr>
            <w:tcW w:w="1454" w:type="dxa"/>
            <w:shd w:val="clear" w:color="auto" w:fill="EDEDED" w:themeFill="accent3" w:themeFillTint="33"/>
          </w:tcPr>
          <w:p w14:paraId="170BE6B7" w14:textId="77777777" w:rsidR="00FC7F39" w:rsidRPr="004E3DF9" w:rsidRDefault="00FC7F39" w:rsidP="00FC7F3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20"/>
                <w:szCs w:val="20"/>
              </w:rPr>
            </w:pPr>
            <w:r w:rsidRPr="004E3DF9">
              <w:rPr>
                <w:rFonts w:eastAsia="Times New Roman" w:cs="Times New Roman"/>
                <w:b/>
                <w:color w:val="0D0D0D" w:themeColor="text1" w:themeTint="F2"/>
                <w:sz w:val="20"/>
                <w:szCs w:val="20"/>
              </w:rPr>
              <w:t>Convert to Roth IRA</w:t>
            </w:r>
          </w:p>
        </w:tc>
        <w:tc>
          <w:tcPr>
            <w:tcW w:w="1954" w:type="dxa"/>
            <w:shd w:val="clear" w:color="auto" w:fill="EDEDED" w:themeFill="accent3" w:themeFillTint="33"/>
          </w:tcPr>
          <w:p w14:paraId="3E9EB8AC" w14:textId="77777777" w:rsidR="00FC7F39" w:rsidRPr="004E3DF9" w:rsidRDefault="00FC7F39" w:rsidP="00FC7F3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20"/>
                <w:szCs w:val="20"/>
              </w:rPr>
            </w:pPr>
            <w:r w:rsidRPr="004E3DF9">
              <w:rPr>
                <w:rFonts w:eastAsia="Times New Roman" w:cs="Times New Roman"/>
                <w:b/>
                <w:color w:val="0D0D0D" w:themeColor="text1" w:themeTint="F2"/>
                <w:sz w:val="20"/>
                <w:szCs w:val="20"/>
              </w:rPr>
              <w:t>Income Subject to Taxation</w:t>
            </w:r>
          </w:p>
        </w:tc>
      </w:tr>
      <w:tr w:rsidR="00FC7F39" w:rsidRPr="00FF27DA" w14:paraId="40A84C71" w14:textId="77777777" w:rsidTr="00FC7F39">
        <w:trPr>
          <w:trHeight w:val="348"/>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52F9299A" w14:textId="77777777" w:rsidR="00FC7F39" w:rsidRPr="00637E91" w:rsidRDefault="00FC7F39" w:rsidP="00FC7F39">
            <w:pPr>
              <w:jc w:val="center"/>
              <w:rPr>
                <w:rFonts w:eastAsia="Times New Roman" w:cs="Times New Roman"/>
                <w:color w:val="0D0D0D" w:themeColor="text1" w:themeTint="F2"/>
                <w:sz w:val="24"/>
                <w:szCs w:val="28"/>
              </w:rPr>
            </w:pPr>
            <w:r w:rsidRPr="00637E91">
              <w:rPr>
                <w:rFonts w:eastAsia="Times New Roman" w:cs="Times New Roman"/>
                <w:sz w:val="24"/>
                <w:szCs w:val="28"/>
              </w:rPr>
              <w:t>$</w:t>
            </w:r>
            <w:r>
              <w:rPr>
                <w:rFonts w:eastAsia="Times New Roman" w:cs="Times New Roman"/>
                <w:sz w:val="24"/>
                <w:szCs w:val="28"/>
              </w:rPr>
              <w:t>6</w:t>
            </w:r>
            <w:r w:rsidRPr="00637E91">
              <w:rPr>
                <w:rFonts w:eastAsia="Times New Roman" w:cs="Times New Roman"/>
                <w:sz w:val="24"/>
                <w:szCs w:val="28"/>
              </w:rPr>
              <w:t>,</w:t>
            </w:r>
            <w:r>
              <w:rPr>
                <w:rFonts w:eastAsia="Times New Roman" w:cs="Times New Roman"/>
                <w:sz w:val="24"/>
                <w:szCs w:val="28"/>
              </w:rPr>
              <w:t>0</w:t>
            </w:r>
            <w:r w:rsidRPr="00637E91">
              <w:rPr>
                <w:rFonts w:eastAsia="Times New Roman" w:cs="Times New Roman"/>
                <w:sz w:val="24"/>
                <w:szCs w:val="28"/>
              </w:rPr>
              <w:t>00</w:t>
            </w:r>
          </w:p>
        </w:tc>
        <w:tc>
          <w:tcPr>
            <w:tcW w:w="1454" w:type="dxa"/>
            <w:vAlign w:val="center"/>
          </w:tcPr>
          <w:p w14:paraId="3BBDD662" w14:textId="77777777" w:rsidR="00FC7F39" w:rsidRPr="00637E91" w:rsidRDefault="00FC7F39" w:rsidP="00FC7F3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sidRPr="00637E91">
              <w:rPr>
                <w:rFonts w:eastAsia="Times New Roman" w:cs="Times New Roman"/>
                <w:b/>
                <w:sz w:val="24"/>
                <w:szCs w:val="28"/>
              </w:rPr>
              <w:t>$</w:t>
            </w:r>
            <w:r>
              <w:rPr>
                <w:rFonts w:eastAsia="Times New Roman" w:cs="Times New Roman"/>
                <w:b/>
                <w:sz w:val="24"/>
                <w:szCs w:val="28"/>
              </w:rPr>
              <w:t>6</w:t>
            </w:r>
            <w:r w:rsidRPr="00637E91">
              <w:rPr>
                <w:rFonts w:eastAsia="Times New Roman" w:cs="Times New Roman"/>
                <w:b/>
                <w:sz w:val="24"/>
                <w:szCs w:val="28"/>
              </w:rPr>
              <w:t>,</w:t>
            </w:r>
            <w:r>
              <w:rPr>
                <w:rFonts w:eastAsia="Times New Roman" w:cs="Times New Roman"/>
                <w:b/>
                <w:sz w:val="24"/>
                <w:szCs w:val="28"/>
              </w:rPr>
              <w:t>0</w:t>
            </w:r>
            <w:r w:rsidRPr="00637E91">
              <w:rPr>
                <w:rFonts w:eastAsia="Times New Roman" w:cs="Times New Roman"/>
                <w:b/>
                <w:sz w:val="24"/>
                <w:szCs w:val="28"/>
              </w:rPr>
              <w:t>00</w:t>
            </w:r>
          </w:p>
        </w:tc>
        <w:tc>
          <w:tcPr>
            <w:tcW w:w="1954" w:type="dxa"/>
            <w:vAlign w:val="center"/>
          </w:tcPr>
          <w:p w14:paraId="7CD6347B" w14:textId="77777777" w:rsidR="00FC7F39" w:rsidRPr="00637E91" w:rsidRDefault="00FC7F39" w:rsidP="00FC7F3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sidRPr="00637E91">
              <w:rPr>
                <w:rFonts w:eastAsia="Times New Roman" w:cs="Times New Roman"/>
                <w:b/>
                <w:color w:val="FF0000"/>
                <w:sz w:val="24"/>
                <w:szCs w:val="28"/>
              </w:rPr>
              <w:t>$0</w:t>
            </w:r>
          </w:p>
        </w:tc>
      </w:tr>
    </w:tbl>
    <w:p w14:paraId="05ACE494" w14:textId="7418CB5D" w:rsidR="00B414BD" w:rsidRPr="00FC7F39" w:rsidRDefault="00FC7F39" w:rsidP="00FC7F39">
      <w:pPr>
        <w:spacing w:after="0" w:line="240" w:lineRule="auto"/>
        <w:jc w:val="center"/>
        <w:rPr>
          <w:rFonts w:ascii="Times New Roman" w:eastAsia="Times New Roman" w:hAnsi="Times New Roman" w:cs="Times New Roman"/>
          <w:color w:val="767171" w:themeColor="background2" w:themeShade="80"/>
          <w:sz w:val="18"/>
          <w:szCs w:val="20"/>
        </w:rPr>
      </w:pPr>
      <w:r w:rsidRPr="0008505F">
        <w:rPr>
          <w:rFonts w:ascii="Times New Roman" w:eastAsia="Times New Roman" w:hAnsi="Times New Roman" w:cs="Times New Roman"/>
          <w:color w:val="767171" w:themeColor="background2" w:themeShade="80"/>
          <w:sz w:val="18"/>
          <w:szCs w:val="20"/>
        </w:rPr>
        <w:t xml:space="preserve"> </w:t>
      </w:r>
      <w:r w:rsidR="00B414BD" w:rsidRPr="0008505F">
        <w:rPr>
          <w:rFonts w:ascii="Times New Roman" w:eastAsia="Times New Roman" w:hAnsi="Times New Roman" w:cs="Times New Roman"/>
          <w:color w:val="767171" w:themeColor="background2" w:themeShade="80"/>
          <w:sz w:val="18"/>
          <w:szCs w:val="20"/>
        </w:rPr>
        <w:t>This is a hypothetical example and is not representative of any specific investment. Your results may vary.</w:t>
      </w:r>
    </w:p>
    <w:p w14:paraId="54C9B3F7" w14:textId="77777777"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 xml:space="preserve">Beware of the Pro Rata Rule </w:t>
      </w: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br/>
        <w:t>for Roth Conversions</w:t>
      </w:r>
    </w:p>
    <w:p w14:paraId="6F979869" w14:textId="77777777" w:rsidR="00B414BD" w:rsidRPr="00637E91" w:rsidRDefault="00B414BD" w:rsidP="00B414BD">
      <w:pPr>
        <w:spacing w:after="0" w:line="240" w:lineRule="auto"/>
        <w:jc w:val="both"/>
        <w:rPr>
          <w:szCs w:val="20"/>
        </w:rPr>
      </w:pPr>
      <w:r w:rsidRPr="00637E91">
        <w:rPr>
          <w:szCs w:val="20"/>
        </w:rPr>
        <w:t xml:space="preserve">The Pro Rata rule for Roth conversions states that if you have any other deductible IRAs (i.e. a previous 401k that you’ve rolled over), the conversion of any contributions becomes a taxable event that you’ll need to pay taxes on upfront. </w:t>
      </w:r>
    </w:p>
    <w:p w14:paraId="25BEE25E" w14:textId="77777777" w:rsidR="00B414BD" w:rsidRPr="00CA7B48" w:rsidRDefault="00B414BD" w:rsidP="00B414BD">
      <w:pPr>
        <w:spacing w:after="0" w:line="240" w:lineRule="auto"/>
        <w:jc w:val="both"/>
        <w:rPr>
          <w:sz w:val="20"/>
          <w:szCs w:val="20"/>
        </w:rPr>
      </w:pPr>
    </w:p>
    <w:p w14:paraId="26FEEB1E" w14:textId="195D94FF" w:rsidR="00B414BD" w:rsidRPr="00637E91" w:rsidRDefault="00B414BD" w:rsidP="00B414BD">
      <w:pPr>
        <w:spacing w:after="0" w:line="240" w:lineRule="auto"/>
        <w:jc w:val="both"/>
        <w:rPr>
          <w:szCs w:val="20"/>
        </w:rPr>
      </w:pPr>
      <w:r w:rsidRPr="00637E91">
        <w:rPr>
          <w:szCs w:val="20"/>
        </w:rPr>
        <w:t>The Pro Rata rule for Roth conversions determines whether your conversion will be taxable</w:t>
      </w:r>
      <w:r w:rsidR="000E4BDF">
        <w:rPr>
          <w:szCs w:val="20"/>
        </w:rPr>
        <w:t>.</w:t>
      </w:r>
      <w:r w:rsidRPr="00637E91">
        <w:rPr>
          <w:szCs w:val="20"/>
        </w:rPr>
        <w:t xml:space="preserv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1C8EB5DE" w14:textId="77777777" w:rsidR="00B414BD" w:rsidRPr="00CA7B48" w:rsidRDefault="00B414BD" w:rsidP="00B414BD">
      <w:pPr>
        <w:spacing w:after="0" w:line="240" w:lineRule="auto"/>
        <w:jc w:val="both"/>
        <w:rPr>
          <w:sz w:val="20"/>
          <w:szCs w:val="20"/>
        </w:rPr>
      </w:pPr>
    </w:p>
    <w:p w14:paraId="29E3C291" w14:textId="1174998A" w:rsidR="00B414BD" w:rsidRPr="00637E91" w:rsidRDefault="00B414BD" w:rsidP="00B414BD">
      <w:pPr>
        <w:spacing w:after="0" w:line="240" w:lineRule="auto"/>
        <w:jc w:val="both"/>
        <w:rPr>
          <w:szCs w:val="20"/>
        </w:rPr>
      </w:pPr>
      <w:r w:rsidRPr="00637E91">
        <w:rPr>
          <w:szCs w:val="20"/>
        </w:rPr>
        <w:t xml:space="preserve">The IRS determines the tax on this conversion based on the value of all your IRA assets. For example, </w:t>
      </w:r>
      <w:r w:rsidR="006C4CEA">
        <w:rPr>
          <w:szCs w:val="20"/>
        </w:rPr>
        <w:t>Peggy</w:t>
      </w:r>
      <w:r w:rsidRPr="00637E91">
        <w:rPr>
          <w:szCs w:val="20"/>
        </w:rPr>
        <w:t>, a high-income earner, already has $94,</w:t>
      </w:r>
      <w:r>
        <w:rPr>
          <w:szCs w:val="20"/>
        </w:rPr>
        <w:t>0</w:t>
      </w:r>
      <w:r w:rsidRPr="00637E91">
        <w:rPr>
          <w:szCs w:val="20"/>
        </w:rPr>
        <w:t>00 in an IRA account, all of which has never been taxed.  She decides on January 2nd to put $</w:t>
      </w:r>
      <w:r>
        <w:rPr>
          <w:szCs w:val="20"/>
        </w:rPr>
        <w:t>6</w:t>
      </w:r>
      <w:r w:rsidRPr="00637E91">
        <w:rPr>
          <w:szCs w:val="20"/>
        </w:rPr>
        <w:t>,</w:t>
      </w:r>
      <w:r>
        <w:rPr>
          <w:szCs w:val="20"/>
        </w:rPr>
        <w:t>0</w:t>
      </w:r>
      <w:r w:rsidRPr="00637E91">
        <w:rPr>
          <w:szCs w:val="20"/>
        </w:rPr>
        <w:t xml:space="preserve">00 into a new traditional IRA. The next day she converts the new traditional non-deductible IRA to a Roth IRA.  </w:t>
      </w:r>
      <w:r w:rsidR="006C4CEA">
        <w:rPr>
          <w:szCs w:val="20"/>
        </w:rPr>
        <w:t>Peggy</w:t>
      </w:r>
      <w:r w:rsidRPr="00637E91">
        <w:rPr>
          <w:szCs w:val="20"/>
        </w:rPr>
        <w:t>’s income is too high for her to make a direct contribution into a Roth IRA, but there’s no income limit on conversions.  She has $94</w:t>
      </w:r>
      <w:r>
        <w:rPr>
          <w:szCs w:val="20"/>
        </w:rPr>
        <w:t>,0</w:t>
      </w:r>
      <w:r w:rsidRPr="00637E91">
        <w:rPr>
          <w:szCs w:val="20"/>
        </w:rPr>
        <w:t>00 in other IRAs (previously non-taxed), so her total IRA assets are now $100,000. When she converts $</w:t>
      </w:r>
      <w:r>
        <w:rPr>
          <w:szCs w:val="20"/>
        </w:rPr>
        <w:t>6</w:t>
      </w:r>
      <w:r w:rsidRPr="00637E91">
        <w:rPr>
          <w:szCs w:val="20"/>
        </w:rPr>
        <w:t>,</w:t>
      </w:r>
      <w:r>
        <w:rPr>
          <w:szCs w:val="20"/>
        </w:rPr>
        <w:t>0</w:t>
      </w:r>
      <w:r w:rsidRPr="00637E91">
        <w:rPr>
          <w:szCs w:val="20"/>
        </w:rPr>
        <w:t xml:space="preserve">00 to a Roth IRA, the IRS </w:t>
      </w:r>
      <w:r w:rsidRPr="00637E91">
        <w:rPr>
          <w:szCs w:val="20"/>
        </w:rPr>
        <w:lastRenderedPageBreak/>
        <w:t>pro-rates her tax basis on the previous taxation of her total IRA assets, therefore making this conversion 94% taxable ($94,</w:t>
      </w:r>
      <w:r>
        <w:rPr>
          <w:szCs w:val="20"/>
        </w:rPr>
        <w:t>0</w:t>
      </w:r>
      <w:r w:rsidRPr="00637E91">
        <w:rPr>
          <w:szCs w:val="20"/>
        </w:rPr>
        <w:t>00/100,000 = 94%).</w:t>
      </w:r>
    </w:p>
    <w:tbl>
      <w:tblPr>
        <w:tblStyle w:val="ListTable3-Accent11"/>
        <w:tblpPr w:leftFromText="187" w:rightFromText="187" w:topFromText="58" w:bottomFromText="58" w:vertAnchor="text" w:horzAnchor="margin" w:tblpY="182"/>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60"/>
        <w:gridCol w:w="1530"/>
        <w:gridCol w:w="1170"/>
        <w:gridCol w:w="1440"/>
      </w:tblGrid>
      <w:tr w:rsidR="00B414BD" w:rsidRPr="00637E91" w14:paraId="5ED5A539" w14:textId="77777777" w:rsidTr="00B87E0D">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300" w:type="dxa"/>
            <w:gridSpan w:val="4"/>
            <w:tcBorders>
              <w:bottom w:val="none" w:sz="0" w:space="0" w:color="auto"/>
              <w:right w:val="none" w:sz="0" w:space="0" w:color="auto"/>
            </w:tcBorders>
            <w:shd w:val="clear" w:color="auto" w:fill="1F3864" w:themeFill="accent1" w:themeFillShade="80"/>
          </w:tcPr>
          <w:p w14:paraId="21AC0201" w14:textId="4FB3EFAD" w:rsidR="00B414BD" w:rsidRPr="00637E91" w:rsidRDefault="006C4CEA" w:rsidP="00EF326C">
            <w:pPr>
              <w:jc w:val="center"/>
              <w:rPr>
                <w:color w:val="auto"/>
                <w:szCs w:val="20"/>
              </w:rPr>
            </w:pPr>
            <w:r>
              <w:rPr>
                <w:sz w:val="24"/>
                <w:szCs w:val="20"/>
              </w:rPr>
              <w:t>Peggy</w:t>
            </w:r>
            <w:r w:rsidR="00B414BD" w:rsidRPr="00637E91">
              <w:rPr>
                <w:sz w:val="24"/>
                <w:szCs w:val="20"/>
              </w:rPr>
              <w:t>'s Backdoor Roth IRA Conversion</w:t>
            </w:r>
          </w:p>
        </w:tc>
      </w:tr>
      <w:tr w:rsidR="00B414BD" w:rsidRPr="00637E91" w14:paraId="3176596B" w14:textId="77777777" w:rsidTr="000850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60" w:type="dxa"/>
            <w:shd w:val="clear" w:color="auto" w:fill="EDEDED" w:themeFill="accent3" w:themeFillTint="33"/>
          </w:tcPr>
          <w:p w14:paraId="453052C6" w14:textId="77777777" w:rsidR="00B414BD" w:rsidRPr="00637E91" w:rsidRDefault="00B414BD" w:rsidP="00EF326C">
            <w:pPr>
              <w:jc w:val="center"/>
              <w:rPr>
                <w:szCs w:val="20"/>
              </w:rPr>
            </w:pPr>
            <w:r w:rsidRPr="00637E91">
              <w:rPr>
                <w:szCs w:val="20"/>
              </w:rPr>
              <w:t>Balance in All IRAs</w:t>
            </w:r>
          </w:p>
        </w:tc>
        <w:tc>
          <w:tcPr>
            <w:tcW w:w="1530" w:type="dxa"/>
            <w:shd w:val="clear" w:color="auto" w:fill="EDEDED" w:themeFill="accent3" w:themeFillTint="33"/>
          </w:tcPr>
          <w:p w14:paraId="69E45250"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37E91">
              <w:rPr>
                <w:sz w:val="20"/>
                <w:szCs w:val="20"/>
              </w:rPr>
              <w:t>Contribution to</w:t>
            </w:r>
            <w:r>
              <w:rPr>
                <w:sz w:val="20"/>
                <w:szCs w:val="20"/>
              </w:rPr>
              <w:t xml:space="preserve"> </w:t>
            </w:r>
            <w:r w:rsidRPr="00637E91">
              <w:rPr>
                <w:sz w:val="20"/>
                <w:szCs w:val="20"/>
              </w:rPr>
              <w:t>Non-deductible traditional IRA</w:t>
            </w:r>
          </w:p>
        </w:tc>
        <w:tc>
          <w:tcPr>
            <w:tcW w:w="1170" w:type="dxa"/>
            <w:shd w:val="clear" w:color="auto" w:fill="EDEDED" w:themeFill="accent3" w:themeFillTint="33"/>
          </w:tcPr>
          <w:p w14:paraId="7736C5D7"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Cs w:val="20"/>
              </w:rPr>
            </w:pPr>
            <w:r w:rsidRPr="00637E91">
              <w:rPr>
                <w:szCs w:val="20"/>
              </w:rPr>
              <w:t>Convert to Roth IRA</w:t>
            </w:r>
          </w:p>
        </w:tc>
        <w:tc>
          <w:tcPr>
            <w:tcW w:w="1440" w:type="dxa"/>
            <w:shd w:val="clear" w:color="auto" w:fill="EDEDED" w:themeFill="accent3" w:themeFillTint="33"/>
          </w:tcPr>
          <w:p w14:paraId="0B50AFD6"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Cs w:val="20"/>
              </w:rPr>
            </w:pPr>
            <w:r w:rsidRPr="00637E91">
              <w:rPr>
                <w:szCs w:val="20"/>
              </w:rPr>
              <w:t>Income Subject to Taxation</w:t>
            </w:r>
          </w:p>
        </w:tc>
      </w:tr>
      <w:tr w:rsidR="00B414BD" w:rsidRPr="00637E91" w14:paraId="4528EF5A" w14:textId="77777777" w:rsidTr="0008505F">
        <w:trPr>
          <w:trHeight w:val="379"/>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24512BF3" w14:textId="77777777" w:rsidR="00B414BD" w:rsidRPr="00637E91" w:rsidRDefault="00B414BD" w:rsidP="00EF326C">
            <w:pPr>
              <w:jc w:val="center"/>
              <w:rPr>
                <w:sz w:val="24"/>
                <w:szCs w:val="20"/>
              </w:rPr>
            </w:pPr>
            <w:r w:rsidRPr="00637E91">
              <w:rPr>
                <w:sz w:val="24"/>
                <w:szCs w:val="20"/>
              </w:rPr>
              <w:t>$94,000</w:t>
            </w:r>
          </w:p>
        </w:tc>
        <w:tc>
          <w:tcPr>
            <w:tcW w:w="1530" w:type="dxa"/>
            <w:vAlign w:val="center"/>
          </w:tcPr>
          <w:p w14:paraId="590FC718"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sz w:val="24"/>
                <w:szCs w:val="20"/>
              </w:rPr>
              <w:t>$6,000</w:t>
            </w:r>
          </w:p>
        </w:tc>
        <w:tc>
          <w:tcPr>
            <w:tcW w:w="1170" w:type="dxa"/>
            <w:vAlign w:val="center"/>
          </w:tcPr>
          <w:p w14:paraId="4D55B7F0"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sz w:val="24"/>
                <w:szCs w:val="20"/>
              </w:rPr>
              <w:t>$6,000</w:t>
            </w:r>
          </w:p>
        </w:tc>
        <w:tc>
          <w:tcPr>
            <w:tcW w:w="1440" w:type="dxa"/>
            <w:vAlign w:val="center"/>
          </w:tcPr>
          <w:p w14:paraId="6C7E5251"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color w:val="FF0000"/>
                <w:sz w:val="24"/>
                <w:szCs w:val="20"/>
              </w:rPr>
              <w:t>$5,640</w:t>
            </w:r>
          </w:p>
        </w:tc>
      </w:tr>
    </w:tbl>
    <w:p w14:paraId="4E732856" w14:textId="77777777" w:rsidR="00B414BD" w:rsidRPr="00261D1E" w:rsidRDefault="00B414BD" w:rsidP="00B414BD">
      <w:pPr>
        <w:spacing w:after="0" w:line="240" w:lineRule="auto"/>
        <w:jc w:val="center"/>
        <w:rPr>
          <w:rFonts w:ascii="Times New Roman" w:eastAsia="Times New Roman" w:hAnsi="Times New Roman" w:cs="Times New Roman"/>
          <w:color w:val="767171" w:themeColor="background2" w:themeShade="80"/>
          <w:sz w:val="20"/>
          <w:szCs w:val="20"/>
        </w:rPr>
      </w:pPr>
      <w:r w:rsidRPr="0008505F">
        <w:rPr>
          <w:rFonts w:ascii="Times New Roman" w:eastAsia="Times New Roman" w:hAnsi="Times New Roman" w:cs="Times New Roman"/>
          <w:color w:val="767171" w:themeColor="background2" w:themeShade="80"/>
          <w:sz w:val="18"/>
          <w:szCs w:val="20"/>
        </w:rPr>
        <w:t>This is a hypothetical example and is not representative of any specific investment. Your results may vary.</w:t>
      </w:r>
      <w:r>
        <w:rPr>
          <w:rFonts w:ascii="Times New Roman" w:eastAsia="Times New Roman" w:hAnsi="Times New Roman" w:cs="Times New Roman"/>
          <w:color w:val="767171" w:themeColor="background2" w:themeShade="80"/>
          <w:sz w:val="20"/>
          <w:szCs w:val="20"/>
        </w:rPr>
        <w:br/>
      </w:r>
    </w:p>
    <w:p w14:paraId="32DF4083" w14:textId="77777777" w:rsidR="00B414BD" w:rsidRPr="00593012" w:rsidRDefault="00B414BD" w:rsidP="00B414BD">
      <w:pPr>
        <w:spacing w:after="0" w:line="240" w:lineRule="auto"/>
        <w:jc w:val="both"/>
        <w:rPr>
          <w:szCs w:val="20"/>
        </w:rPr>
      </w:pPr>
      <w:r>
        <w:rPr>
          <w:b/>
          <w:sz w:val="24"/>
          <w:szCs w:val="20"/>
        </w:rPr>
        <w:t>I</w:t>
      </w:r>
      <w:r w:rsidRPr="00637E91">
        <w:rPr>
          <w:b/>
          <w:sz w:val="24"/>
          <w:szCs w:val="20"/>
        </w:rPr>
        <w:t>f you plan on using this backdoor IRA strategy, you want to be clear as to whether or not you have any other IRAs</w:t>
      </w:r>
      <w:r w:rsidRPr="00637E91">
        <w:rPr>
          <w:szCs w:val="20"/>
        </w:rPr>
        <w:t>. As you can see, this can be a confusing area, and this is where we can help.  If you are a high-income earner we would be happy to review your situation to determine if this strategy is in your best interest.</w:t>
      </w:r>
    </w:p>
    <w:p w14:paraId="39BAB031" w14:textId="77777777" w:rsidR="00B414BD" w:rsidRPr="004A3760" w:rsidRDefault="00B414BD" w:rsidP="00B414BD">
      <w:pPr>
        <w:spacing w:after="0" w:line="240" w:lineRule="auto"/>
        <w:jc w:val="both"/>
        <w:rPr>
          <w:szCs w:val="20"/>
        </w:rPr>
      </w:pPr>
    </w:p>
    <w:p w14:paraId="4A061008" w14:textId="77777777" w:rsidR="00B414BD" w:rsidRPr="004A3760" w:rsidRDefault="00B414BD" w:rsidP="00B414BD">
      <w:pPr>
        <w:spacing w:after="0" w:line="240" w:lineRule="auto"/>
        <w:jc w:val="both"/>
        <w:rPr>
          <w:szCs w:val="20"/>
        </w:rPr>
      </w:pPr>
      <w:r w:rsidRPr="004A3760">
        <w:rPr>
          <w:szCs w:val="20"/>
        </w:rPr>
        <w:t>Also, please remember that your spouse’s IRA is separate from yours.</w:t>
      </w:r>
    </w:p>
    <w:p w14:paraId="65A1E0A4" w14:textId="77777777" w:rsidR="00B414BD" w:rsidRPr="00B87E0D" w:rsidRDefault="00B414BD" w:rsidP="00B414BD">
      <w:pPr>
        <w:spacing w:after="0" w:line="240" w:lineRule="auto"/>
        <w:jc w:val="both"/>
        <w:rPr>
          <w:rFonts w:eastAsia="Times New Roman" w:cs="Times New Roman"/>
          <w:color w:val="0D0D0D" w:themeColor="text1" w:themeTint="F2"/>
          <w:sz w:val="21"/>
          <w:szCs w:val="21"/>
        </w:rPr>
      </w:pPr>
    </w:p>
    <w:p w14:paraId="2475A1A2" w14:textId="50342D76" w:rsidR="00E846D0" w:rsidRPr="00E846D0" w:rsidRDefault="00B414BD" w:rsidP="00E846D0">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Am I a Candidate for a Backdoor Roth IRA?</w:t>
      </w:r>
    </w:p>
    <w:p w14:paraId="75B26426" w14:textId="53B366A5" w:rsidR="00B414BD" w:rsidRPr="00637E91" w:rsidRDefault="00B414BD" w:rsidP="00B414BD">
      <w:pPr>
        <w:spacing w:after="0" w:line="240" w:lineRule="auto"/>
        <w:jc w:val="both"/>
        <w:rPr>
          <w:rFonts w:eastAsia="Times New Roman" w:cstheme="minorHAnsi"/>
          <w:b/>
          <w:color w:val="0D0D0D" w:themeColor="text1" w:themeTint="F2"/>
        </w:rPr>
      </w:pPr>
      <w:r w:rsidRPr="00637E91">
        <w:rPr>
          <w:rFonts w:eastAsia="Times New Roman" w:cstheme="minorHAnsi"/>
          <w:b/>
          <w:color w:val="0D0D0D" w:themeColor="text1" w:themeTint="F2"/>
        </w:rPr>
        <w:t>Backdoor Roth IRAs can be appropriate for investors who:</w:t>
      </w:r>
      <w:r w:rsidR="00B87E0D">
        <w:rPr>
          <w:rFonts w:eastAsia="Times New Roman" w:cstheme="minorHAnsi"/>
          <w:b/>
          <w:color w:val="0D0D0D" w:themeColor="text1" w:themeTint="F2"/>
        </w:rPr>
        <w:br/>
      </w:r>
    </w:p>
    <w:p w14:paraId="57B90DE0" w14:textId="61BEFB9E"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Only have retirement accounts through their jobs (i.e. 401k's) and want to increase their retirement savings in tax-advantaged accounts, but whose income is too high to qualify for standard Roth IRA contributions; and</w:t>
      </w:r>
    </w:p>
    <w:p w14:paraId="71561ED1" w14:textId="4475DFC3"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Have the time and ability to wait for five years or until they are 59 ½</w:t>
      </w:r>
      <w:r w:rsidR="00BF2A42">
        <w:rPr>
          <w:rFonts w:eastAsia="Times New Roman" w:cstheme="minorHAnsi"/>
        </w:rPr>
        <w:t>, whichever is later,</w:t>
      </w:r>
      <w:r w:rsidRPr="00637E91">
        <w:rPr>
          <w:rFonts w:eastAsia="Times New Roman" w:cstheme="minorHAnsi"/>
        </w:rPr>
        <w:t xml:space="preserve"> to avoid the 10% penalty on early withdrawals. </w:t>
      </w:r>
    </w:p>
    <w:p w14:paraId="50E2E8B3" w14:textId="77777777" w:rsidR="00E846D0" w:rsidRDefault="00E846D0" w:rsidP="00B414BD">
      <w:pPr>
        <w:spacing w:after="0" w:line="240" w:lineRule="auto"/>
        <w:jc w:val="both"/>
        <w:rPr>
          <w:rFonts w:eastAsia="Times New Roman" w:cstheme="minorHAnsi"/>
          <w:b/>
          <w:color w:val="0D0D0D" w:themeColor="text1" w:themeTint="F2"/>
        </w:rPr>
      </w:pPr>
    </w:p>
    <w:p w14:paraId="7F6ECF13" w14:textId="312EF4A1" w:rsidR="00B414BD" w:rsidRPr="00637E91" w:rsidRDefault="00E119FB" w:rsidP="00B414BD">
      <w:pPr>
        <w:spacing w:after="0" w:line="240" w:lineRule="auto"/>
        <w:jc w:val="both"/>
        <w:rPr>
          <w:rFonts w:eastAsia="Times New Roman" w:cstheme="minorHAnsi"/>
          <w:b/>
          <w:color w:val="0D0D0D" w:themeColor="text1" w:themeTint="F2"/>
        </w:rPr>
      </w:pPr>
      <w:r w:rsidRPr="00152B55">
        <w:rPr>
          <w:rFonts w:ascii="Times New Roman" w:hAnsi="Times New Roman" w:cs="Times New Roman"/>
          <w:noProof/>
          <w:sz w:val="20"/>
          <w:szCs w:val="20"/>
        </w:rPr>
        <mc:AlternateContent>
          <mc:Choice Requires="wps">
            <w:drawing>
              <wp:anchor distT="45720" distB="0" distL="114300" distR="114300" simplePos="0" relativeHeight="251670528" behindDoc="0" locked="0" layoutInCell="1" allowOverlap="1" wp14:anchorId="17625C7E" wp14:editId="47AE994F">
                <wp:simplePos x="0" y="0"/>
                <wp:positionH relativeFrom="column">
                  <wp:posOffset>-19685</wp:posOffset>
                </wp:positionH>
                <wp:positionV relativeFrom="paragraph">
                  <wp:posOffset>384175</wp:posOffset>
                </wp:positionV>
                <wp:extent cx="6991350" cy="9239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23925"/>
                        </a:xfrm>
                        <a:prstGeom prst="rect">
                          <a:avLst/>
                        </a:prstGeom>
                        <a:gradFill flip="none" rotWithShape="1">
                          <a:gsLst>
                            <a:gs pos="94558">
                              <a:schemeClr val="bg1">
                                <a:lumMod val="95000"/>
                              </a:schemeClr>
                            </a:gs>
                            <a:gs pos="91142">
                              <a:srgbClr val="F0F1F1"/>
                            </a:gs>
                            <a:gs pos="42000">
                              <a:srgbClr val="D6DEDF"/>
                            </a:gs>
                            <a:gs pos="5000">
                              <a:schemeClr val="accent1">
                                <a:lumMod val="60000"/>
                                <a:lumOff val="40000"/>
                              </a:schemeClr>
                            </a:gs>
                          </a:gsLst>
                          <a:lin ang="16200000" scaled="1"/>
                          <a:tileRect/>
                        </a:gradFill>
                        <a:ln w="9525">
                          <a:solidFill>
                            <a:srgbClr val="6B8FCF"/>
                          </a:solidFill>
                          <a:prstDash val="sysDash"/>
                          <a:miter lim="800000"/>
                          <a:headEnd/>
                          <a:tailEnd/>
                        </a:ln>
                      </wps:spPr>
                      <wps:txbx>
                        <w:txbxContent>
                          <w:p w14:paraId="588A14CC" w14:textId="77777777" w:rsidR="0008505F" w:rsidRPr="002D4BC6" w:rsidRDefault="0008505F" w:rsidP="002D4BC6">
                            <w:pPr>
                              <w:pStyle w:val="Footer"/>
                              <w:tabs>
                                <w:tab w:val="clear" w:pos="4680"/>
                              </w:tabs>
                              <w:ind w:right="1"/>
                              <w:jc w:val="center"/>
                              <w:rPr>
                                <w:b/>
                                <w:color w:val="000000" w:themeColor="text1"/>
                                <w:sz w:val="2"/>
                                <w:szCs w:val="28"/>
                              </w:rPr>
                            </w:pPr>
                          </w:p>
                          <w:p w14:paraId="0C95A10E" w14:textId="77777777" w:rsidR="002D4BC6" w:rsidRPr="002D4BC6" w:rsidRDefault="002D4BC6" w:rsidP="002D4BC6">
                            <w:pPr>
                              <w:pStyle w:val="Footer"/>
                              <w:ind w:right="90"/>
                              <w:jc w:val="center"/>
                              <w:rPr>
                                <w:color w:val="1F3864" w:themeColor="accent1" w:themeShade="80"/>
                                <w:sz w:val="28"/>
                                <w:szCs w:val="30"/>
                              </w:rPr>
                            </w:pPr>
                            <w:r w:rsidRPr="002D4BC6">
                              <w:rPr>
                                <w:b/>
                                <w:i/>
                                <w:color w:val="1F3864" w:themeColor="accent1" w:themeShade="80"/>
                                <w:sz w:val="28"/>
                                <w:szCs w:val="30"/>
                              </w:rPr>
                              <w:t>Please share this article with others!</w:t>
                            </w:r>
                          </w:p>
                          <w:p w14:paraId="58BB9B65" w14:textId="77777777" w:rsidR="002D4BC6" w:rsidRPr="00173340" w:rsidRDefault="0008505F" w:rsidP="002D4BC6">
                            <w:pPr>
                              <w:pStyle w:val="Footer"/>
                              <w:ind w:right="2152"/>
                              <w:jc w:val="both"/>
                              <w:rPr>
                                <w:color w:val="0D0D0D"/>
                                <w:sz w:val="36"/>
                                <w:szCs w:val="21"/>
                              </w:rPr>
                            </w:pPr>
                            <w:r w:rsidRPr="00EA1517">
                              <w:rPr>
                                <w:b/>
                                <w:color w:val="000000" w:themeColor="text1"/>
                                <w:sz w:val="6"/>
                                <w:szCs w:val="27"/>
                              </w:rPr>
                              <w:br/>
                            </w:r>
                            <w:r w:rsidR="002D4BC6" w:rsidRPr="002D4BC6">
                              <w:rPr>
                                <w:color w:val="003399"/>
                                <w:szCs w:val="21"/>
                              </w:rPr>
                              <w:t xml:space="preserve">This year, our goal is </w:t>
                            </w:r>
                            <w:r w:rsidR="002D4BC6" w:rsidRPr="002D4BC6">
                              <w:rPr>
                                <w:color w:val="003399"/>
                              </w:rPr>
                              <w:t xml:space="preserve">to offer services to several other clients just like you! If you would like to share this article with a friend or colleague, please call </w:t>
                            </w:r>
                            <w:r w:rsidR="002D4BC6" w:rsidRPr="002D4BC6">
                              <w:rPr>
                                <w:b/>
                                <w:color w:val="003399"/>
                                <w:highlight w:val="yellow"/>
                              </w:rPr>
                              <w:t>Name at Company at (123) 456-7890</w:t>
                            </w:r>
                            <w:r w:rsidR="002D4BC6" w:rsidRPr="002D4BC6">
                              <w:rPr>
                                <w:color w:val="003399"/>
                              </w:rPr>
                              <w:t xml:space="preserve"> and we would be happy to assist you!</w:t>
                            </w:r>
                          </w:p>
                          <w:p w14:paraId="30455725" w14:textId="77777777" w:rsidR="002D4BC6" w:rsidRDefault="002D4BC6" w:rsidP="002D4BC6"/>
                          <w:p w14:paraId="4EA79F9D" w14:textId="50654958" w:rsidR="00EA1517" w:rsidRPr="00EA1517" w:rsidRDefault="00EA1517" w:rsidP="00EA1517">
                            <w:pPr>
                              <w:pStyle w:val="Footer"/>
                              <w:ind w:right="75"/>
                              <w:jc w:val="center"/>
                              <w:rPr>
                                <w:b/>
                                <w:color w:val="171717" w:themeColor="background2" w:themeShade="1A"/>
                                <w:sz w:val="20"/>
                              </w:rPr>
                            </w:pPr>
                          </w:p>
                          <w:p w14:paraId="444CB93D" w14:textId="771A246F" w:rsidR="0008505F" w:rsidRPr="00EA1517" w:rsidRDefault="0008505F" w:rsidP="00EA1517">
                            <w:pPr>
                              <w:pStyle w:val="Footer"/>
                              <w:tabs>
                                <w:tab w:val="clear" w:pos="4680"/>
                              </w:tabs>
                              <w:ind w:right="2153"/>
                              <w:jc w:val="center"/>
                              <w:rPr>
                                <w:b/>
                                <w:color w:val="000000" w:themeColor="text1"/>
                                <w:sz w:val="18"/>
                                <w:szCs w:val="27"/>
                              </w:rPr>
                            </w:pPr>
                          </w:p>
                          <w:p w14:paraId="4E6B3EEA" w14:textId="77777777" w:rsidR="0008505F" w:rsidRPr="00EA1517" w:rsidRDefault="0008505F" w:rsidP="00EA1517">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25C7E" id="_x0000_t202" coordsize="21600,21600" o:spt="202" path="m,l,21600r21600,l21600,xe">
                <v:stroke joinstyle="miter"/>
                <v:path gradientshapeok="t" o:connecttype="rect"/>
              </v:shapetype>
              <v:shape id="Text Box 11" o:spid="_x0000_s1028" type="#_x0000_t202" style="position:absolute;left:0;text-align:left;margin-left:-1.55pt;margin-top:30.25pt;width:550.5pt;height:72.75pt;z-index:25167052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" fillcolor="#8eaadb [1940]" strokecolor="#6b8fcf">
                <v:fill color2="#f2f2f2 [3052]" rotate="t" angle="180" colors="0 #8faadc;3277f #8faadc;27525f #d6dedf;59731f #f0f1f1" focus="100%" type="gradient"/>
                <v:stroke dashstyle="3 1"/>
                <v:textbox>
                  <w:txbxContent>
                    <w:p w14:paraId="588A14CC" w14:textId="77777777" w:rsidR="0008505F" w:rsidRPr="002D4BC6" w:rsidRDefault="0008505F" w:rsidP="002D4BC6">
                      <w:pPr>
                        <w:pStyle w:val="Footer"/>
                        <w:tabs>
                          <w:tab w:val="clear" w:pos="4680"/>
                        </w:tabs>
                        <w:ind w:right="1"/>
                        <w:jc w:val="center"/>
                        <w:rPr>
                          <w:b/>
                          <w:color w:val="000000" w:themeColor="text1"/>
                          <w:sz w:val="2"/>
                          <w:szCs w:val="28"/>
                        </w:rPr>
                      </w:pPr>
                    </w:p>
                    <w:p w14:paraId="0C95A10E" w14:textId="77777777" w:rsidR="002D4BC6" w:rsidRPr="002D4BC6" w:rsidRDefault="002D4BC6" w:rsidP="002D4BC6">
                      <w:pPr>
                        <w:pStyle w:val="Footer"/>
                        <w:ind w:right="90"/>
                        <w:jc w:val="center"/>
                        <w:rPr>
                          <w:color w:val="1F3864" w:themeColor="accent1" w:themeShade="80"/>
                          <w:sz w:val="28"/>
                          <w:szCs w:val="30"/>
                        </w:rPr>
                      </w:pPr>
                      <w:r w:rsidRPr="002D4BC6">
                        <w:rPr>
                          <w:b/>
                          <w:i/>
                          <w:color w:val="1F3864" w:themeColor="accent1" w:themeShade="80"/>
                          <w:sz w:val="28"/>
                          <w:szCs w:val="30"/>
                        </w:rPr>
                        <w:t>Please share this article with others!</w:t>
                      </w:r>
                    </w:p>
                    <w:p w14:paraId="58BB9B65" w14:textId="77777777" w:rsidR="002D4BC6" w:rsidRPr="00173340" w:rsidRDefault="0008505F" w:rsidP="002D4BC6">
                      <w:pPr>
                        <w:pStyle w:val="Footer"/>
                        <w:ind w:right="2152"/>
                        <w:jc w:val="both"/>
                        <w:rPr>
                          <w:color w:val="0D0D0D"/>
                          <w:sz w:val="36"/>
                          <w:szCs w:val="21"/>
                        </w:rPr>
                      </w:pPr>
                      <w:r w:rsidRPr="00EA1517">
                        <w:rPr>
                          <w:b/>
                          <w:color w:val="000000" w:themeColor="text1"/>
                          <w:sz w:val="6"/>
                          <w:szCs w:val="27"/>
                        </w:rPr>
                        <w:br/>
                      </w:r>
                      <w:r w:rsidR="002D4BC6" w:rsidRPr="002D4BC6">
                        <w:rPr>
                          <w:color w:val="003399"/>
                          <w:szCs w:val="21"/>
                        </w:rPr>
                        <w:t xml:space="preserve">This year, our goal is </w:t>
                      </w:r>
                      <w:r w:rsidR="002D4BC6" w:rsidRPr="002D4BC6">
                        <w:rPr>
                          <w:color w:val="003399"/>
                        </w:rPr>
                        <w:t xml:space="preserve">to offer services to several other clients just like you! If you would like to share this article with a friend or colleague, please call </w:t>
                      </w:r>
                      <w:r w:rsidR="002D4BC6" w:rsidRPr="002D4BC6">
                        <w:rPr>
                          <w:b/>
                          <w:color w:val="003399"/>
                          <w:highlight w:val="yellow"/>
                        </w:rPr>
                        <w:t>Name at Company at (123) 456-7890</w:t>
                      </w:r>
                      <w:r w:rsidR="002D4BC6" w:rsidRPr="002D4BC6">
                        <w:rPr>
                          <w:color w:val="003399"/>
                        </w:rPr>
                        <w:t xml:space="preserve"> and we would be happy to assist you!</w:t>
                      </w:r>
                    </w:p>
                    <w:p w14:paraId="30455725" w14:textId="77777777" w:rsidR="002D4BC6" w:rsidRDefault="002D4BC6" w:rsidP="002D4BC6"/>
                    <w:p w14:paraId="4EA79F9D" w14:textId="50654958" w:rsidR="00EA1517" w:rsidRPr="00EA1517" w:rsidRDefault="00EA1517" w:rsidP="00EA1517">
                      <w:pPr>
                        <w:pStyle w:val="Footer"/>
                        <w:ind w:right="75"/>
                        <w:jc w:val="center"/>
                        <w:rPr>
                          <w:b/>
                          <w:color w:val="171717" w:themeColor="background2" w:themeShade="1A"/>
                          <w:sz w:val="20"/>
                        </w:rPr>
                      </w:pPr>
                    </w:p>
                    <w:p w14:paraId="444CB93D" w14:textId="771A246F" w:rsidR="0008505F" w:rsidRPr="00EA1517" w:rsidRDefault="0008505F" w:rsidP="00EA1517">
                      <w:pPr>
                        <w:pStyle w:val="Footer"/>
                        <w:tabs>
                          <w:tab w:val="clear" w:pos="4680"/>
                        </w:tabs>
                        <w:ind w:right="2153"/>
                        <w:jc w:val="center"/>
                        <w:rPr>
                          <w:b/>
                          <w:color w:val="000000" w:themeColor="text1"/>
                          <w:sz w:val="18"/>
                          <w:szCs w:val="27"/>
                        </w:rPr>
                      </w:pPr>
                    </w:p>
                    <w:p w14:paraId="4E6B3EEA" w14:textId="77777777" w:rsidR="0008505F" w:rsidRPr="00EA1517" w:rsidRDefault="0008505F" w:rsidP="00EA1517">
                      <w:pPr>
                        <w:jc w:val="center"/>
                        <w:rPr>
                          <w:sz w:val="20"/>
                        </w:rPr>
                      </w:pPr>
                    </w:p>
                  </w:txbxContent>
                </v:textbox>
                <w10:wrap type="square"/>
              </v:shape>
            </w:pict>
          </mc:Fallback>
        </mc:AlternateContent>
      </w:r>
      <w:r w:rsidR="00B414BD" w:rsidRPr="00637E91">
        <w:rPr>
          <w:rFonts w:eastAsia="Times New Roman" w:cstheme="minorHAnsi"/>
          <w:b/>
          <w:color w:val="0D0D0D" w:themeColor="text1" w:themeTint="F2"/>
        </w:rPr>
        <w:t xml:space="preserve">A Backdoor Roth IRA is probably </w:t>
      </w:r>
      <w:r w:rsidR="00B414BD" w:rsidRPr="00637E91">
        <w:rPr>
          <w:rFonts w:eastAsia="Times New Roman" w:cstheme="minorHAnsi"/>
          <w:b/>
          <w:i/>
          <w:color w:val="0D0D0D" w:themeColor="text1" w:themeTint="F2"/>
        </w:rPr>
        <w:t>not</w:t>
      </w:r>
      <w:r w:rsidR="00B414BD" w:rsidRPr="00637E91">
        <w:rPr>
          <w:rFonts w:eastAsia="Times New Roman" w:cstheme="minorHAnsi"/>
          <w:b/>
          <w:color w:val="0D0D0D" w:themeColor="text1" w:themeTint="F2"/>
        </w:rPr>
        <w:t xml:space="preserve"> recommended if you:</w:t>
      </w:r>
    </w:p>
    <w:p w14:paraId="19EA41F7" w14:textId="102F1618" w:rsidR="00B414BD"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 xml:space="preserve">Don’t want to contribute more than the maximum retirement limit through your workplace retirement account. </w:t>
      </w:r>
    </w:p>
    <w:p w14:paraId="4AF16ECE"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D09D0">
        <w:rPr>
          <w:rFonts w:eastAsia="Times New Roman" w:cstheme="minorHAnsi"/>
        </w:rPr>
        <w:t>Already have money in a traditional IRA and because of the Pro Rata rule may end up in a non-tax advantageous position when converting to a Backdoor Roth IRA.</w:t>
      </w:r>
    </w:p>
    <w:p w14:paraId="2B34B904" w14:textId="541AAF4F" w:rsidR="00B414BD" w:rsidRPr="00637E91" w:rsidRDefault="00B414BD" w:rsidP="00B414BD">
      <w:pPr>
        <w:numPr>
          <w:ilvl w:val="0"/>
          <w:numId w:val="3"/>
        </w:numPr>
        <w:tabs>
          <w:tab w:val="clear" w:pos="720"/>
        </w:tabs>
        <w:spacing w:after="0" w:line="240" w:lineRule="auto"/>
        <w:ind w:left="180" w:hanging="180"/>
        <w:jc w:val="both"/>
        <w:textAlignment w:val="baseline"/>
        <w:rPr>
          <w:rFonts w:eastAsia="Times New Roman" w:cstheme="minorHAnsi"/>
        </w:rPr>
      </w:pPr>
      <w:r w:rsidRPr="00637E91">
        <w:rPr>
          <w:rFonts w:eastAsia="Times New Roman" w:cstheme="minorHAnsi"/>
        </w:rPr>
        <w:t xml:space="preserve">Plan or expect to withdraw the funds in the Roth IRA within the first five years of opening it. A Backdoor Roth is considered a conversion and not a contribution. Therefore, the funds </w:t>
      </w:r>
      <w:r w:rsidR="00BF2A42">
        <w:rPr>
          <w:rFonts w:eastAsia="Times New Roman" w:cstheme="minorHAnsi"/>
        </w:rPr>
        <w:t>may</w:t>
      </w:r>
      <w:r w:rsidRPr="00637E91">
        <w:rPr>
          <w:rFonts w:eastAsia="Times New Roman" w:cstheme="minorHAnsi"/>
        </w:rPr>
        <w:t xml:space="preserve"> incur a 10% penalty if withdrawn within five years </w:t>
      </w:r>
      <w:r w:rsidR="00BF2A42">
        <w:rPr>
          <w:rFonts w:eastAsia="Times New Roman" w:cstheme="minorHAnsi"/>
        </w:rPr>
        <w:t>no matter your age.</w:t>
      </w:r>
    </w:p>
    <w:p w14:paraId="20AAA2AD"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Are in a high tax bracket now and expect to be in a lower tax bracket in the future.</w:t>
      </w:r>
    </w:p>
    <w:p w14:paraId="4D2F809E"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Plan to relocate to a lower or no income tax state.</w:t>
      </w:r>
      <w:r w:rsidRPr="00637E91">
        <w:rPr>
          <w:rFonts w:eastAsia="Times New Roman" w:cstheme="minorHAnsi"/>
        </w:rPr>
        <w:br/>
      </w:r>
    </w:p>
    <w:p w14:paraId="326608F6" w14:textId="17981F4E" w:rsidR="00B414BD" w:rsidRDefault="00B414BD" w:rsidP="00B414BD">
      <w:pPr>
        <w:spacing w:after="0" w:line="240" w:lineRule="auto"/>
        <w:jc w:val="both"/>
        <w:rPr>
          <w:rFonts w:eastAsia="Times New Roman" w:cstheme="minorHAnsi"/>
          <w:b/>
          <w:color w:val="0D0D0D" w:themeColor="text1" w:themeTint="F2"/>
        </w:rPr>
      </w:pPr>
      <w:r w:rsidRPr="00637E91">
        <w:rPr>
          <w:rFonts w:cstheme="minorHAnsi"/>
          <w:b/>
          <w:noProof/>
        </w:rPr>
        <w:drawing>
          <wp:anchor distT="0" distB="0" distL="114300" distR="114300" simplePos="0" relativeHeight="251663360" behindDoc="0" locked="0" layoutInCell="1" allowOverlap="1" wp14:anchorId="6DD53094" wp14:editId="074F93C6">
            <wp:simplePos x="0" y="0"/>
            <wp:positionH relativeFrom="column">
              <wp:posOffset>5239081</wp:posOffset>
            </wp:positionH>
            <wp:positionV relativeFrom="paragraph">
              <wp:posOffset>1606993</wp:posOffset>
            </wp:positionV>
            <wp:extent cx="1149791" cy="1550504"/>
            <wp:effectExtent l="19050" t="0" r="0" b="0"/>
            <wp:wrapNone/>
            <wp:docPr id="12"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791" cy="1550504"/>
                    </a:xfrm>
                    <a:prstGeom prst="rect">
                      <a:avLst/>
                    </a:prstGeom>
                    <a:ln>
                      <a:noFill/>
                    </a:ln>
                    <a:effectLst>
                      <a:softEdge rad="112500"/>
                    </a:effectLst>
                  </pic:spPr>
                </pic:pic>
              </a:graphicData>
            </a:graphic>
          </wp:anchor>
        </w:drawing>
      </w:r>
      <w:r w:rsidRPr="00637E91">
        <w:rPr>
          <w:rFonts w:eastAsia="Times New Roman" w:cstheme="minorHAnsi"/>
          <w:b/>
          <w:color w:val="0D0D0D" w:themeColor="text1" w:themeTint="F2"/>
        </w:rPr>
        <w:t xml:space="preserve">Note: </w:t>
      </w:r>
      <w:r w:rsidRPr="00637E91">
        <w:rPr>
          <w:rFonts w:eastAsia="Times New Roman" w:cstheme="minorHAnsi"/>
          <w:color w:val="0D0D0D" w:themeColor="text1" w:themeTint="F2"/>
        </w:rPr>
        <w:t xml:space="preserve">While Backdoor Roth IRAs can be beneficial to many investors, they aren’t for everyone. They come with their limitations and complications. There are precautions that need to be taken to reap the full benefits of any financial decision. </w:t>
      </w:r>
      <w:r w:rsidRPr="00B82815">
        <w:rPr>
          <w:rFonts w:eastAsia="Times New Roman" w:cstheme="minorHAnsi"/>
          <w:b/>
          <w:color w:val="0D0D0D" w:themeColor="text1" w:themeTint="F2"/>
        </w:rPr>
        <w:t>Please consult and review your situation with a qualified professional prior to choosing to use this strategy.</w:t>
      </w:r>
    </w:p>
    <w:p w14:paraId="0F729DDC" w14:textId="6312A83C" w:rsidR="00B414BD" w:rsidRDefault="00B414BD" w:rsidP="00B414BD">
      <w:pPr>
        <w:spacing w:after="0" w:line="240" w:lineRule="auto"/>
        <w:jc w:val="both"/>
        <w:rPr>
          <w:rFonts w:eastAsia="Times New Roman" w:cstheme="minorHAnsi"/>
          <w:b/>
          <w:color w:val="0D0D0D" w:themeColor="text1" w:themeTint="F2"/>
        </w:rPr>
      </w:pPr>
    </w:p>
    <w:p w14:paraId="3B1EC841" w14:textId="77777777" w:rsidR="00B414BD" w:rsidRPr="00673027" w:rsidRDefault="00B414BD" w:rsidP="00B87E0D">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730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Conclusion</w:t>
      </w:r>
    </w:p>
    <w:p w14:paraId="26F53C75" w14:textId="42C4E817" w:rsidR="00B414BD" w:rsidRPr="0008505F" w:rsidRDefault="00B414BD" w:rsidP="00B414BD">
      <w:pPr>
        <w:spacing w:after="0" w:line="240" w:lineRule="auto"/>
        <w:jc w:val="both"/>
        <w:rPr>
          <w:rFonts w:eastAsia="Times New Roman" w:cstheme="minorHAnsi"/>
        </w:rPr>
      </w:pPr>
      <w:r w:rsidRPr="0008505F">
        <w:rPr>
          <w:rFonts w:eastAsia="Times New Roman" w:cstheme="minorHAnsi"/>
        </w:rPr>
        <w:t>If you have an interest in further discussing funding your retirement plans, please call us. This is an area where a highly informed financial advisor can help you make an educated and calculated decision. As with all tax sensitive decisions, you should always consult with your financial advisor and tax professional to help avoid tax ramifications.</w:t>
      </w:r>
    </w:p>
    <w:p w14:paraId="291D1BFD" w14:textId="2FB24427" w:rsidR="00B414BD" w:rsidRPr="0008505F" w:rsidRDefault="00B414BD" w:rsidP="00B414BD">
      <w:pPr>
        <w:spacing w:after="0" w:line="240" w:lineRule="auto"/>
        <w:jc w:val="both"/>
        <w:rPr>
          <w:rFonts w:eastAsia="Times New Roman" w:cstheme="minorHAnsi"/>
        </w:rPr>
      </w:pPr>
    </w:p>
    <w:p w14:paraId="5378FAE2" w14:textId="327456FC" w:rsidR="00B414BD" w:rsidRDefault="00E846D0" w:rsidP="00B414BD">
      <w:pPr>
        <w:spacing w:after="0" w:line="240" w:lineRule="auto"/>
        <w:jc w:val="both"/>
        <w:rPr>
          <w:rFonts w:eastAsia="Times New Roman" w:cstheme="minorHAnsi"/>
        </w:rPr>
      </w:pPr>
      <w:r>
        <w:rPr>
          <w:noProof/>
          <w:sz w:val="24"/>
        </w:rPr>
        <w:drawing>
          <wp:anchor distT="0" distB="0" distL="114300" distR="114300" simplePos="0" relativeHeight="251673600" behindDoc="0" locked="0" layoutInCell="1" allowOverlap="1" wp14:anchorId="5DE5D3A2" wp14:editId="7E08A7F8">
            <wp:simplePos x="0" y="0"/>
            <wp:positionH relativeFrom="column">
              <wp:posOffset>2000250</wp:posOffset>
            </wp:positionH>
            <wp:positionV relativeFrom="paragraph">
              <wp:posOffset>781685</wp:posOffset>
            </wp:positionV>
            <wp:extent cx="1398270" cy="93024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9227" cy="930879"/>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D" w:rsidRPr="0008505F">
        <w:rPr>
          <w:rFonts w:eastAsia="Times New Roman" w:cstheme="minorHAnsi"/>
        </w:rPr>
        <w:t>As always, we are here to help and can look at your specific financial situation and chart the right path for you. We enjoy the opportunity to assist clients in addressing all financial matters</w:t>
      </w:r>
      <w:r w:rsidR="000E4BDF">
        <w:rPr>
          <w:rFonts w:eastAsia="Times New Roman" w:cstheme="minorHAnsi"/>
        </w:rPr>
        <w:t>.</w:t>
      </w:r>
    </w:p>
    <w:p w14:paraId="10CD88A1" w14:textId="083D4B09" w:rsidR="000E4BDF" w:rsidRDefault="000E4BDF" w:rsidP="00B414BD">
      <w:pPr>
        <w:spacing w:after="0" w:line="240" w:lineRule="auto"/>
        <w:jc w:val="both"/>
        <w:rPr>
          <w:rFonts w:eastAsia="Times New Roman" w:cstheme="minorHAnsi"/>
        </w:rPr>
      </w:pPr>
    </w:p>
    <w:p w14:paraId="55EB818E" w14:textId="5876398D" w:rsidR="00E846D0" w:rsidRDefault="00E846D0" w:rsidP="00B414BD">
      <w:pPr>
        <w:spacing w:after="0" w:line="240" w:lineRule="auto"/>
        <w:jc w:val="both"/>
        <w:rPr>
          <w:rFonts w:eastAsia="Times New Roman" w:cstheme="minorHAnsi"/>
        </w:rPr>
      </w:pPr>
    </w:p>
    <w:p w14:paraId="5CC77753" w14:textId="46D61667" w:rsidR="00E846D0" w:rsidRPr="0008505F" w:rsidRDefault="00E846D0" w:rsidP="00B414BD">
      <w:pPr>
        <w:spacing w:after="0" w:line="240" w:lineRule="auto"/>
        <w:jc w:val="both"/>
        <w:rPr>
          <w:rFonts w:eastAsia="Times New Roman" w:cstheme="minorHAnsi"/>
        </w:rPr>
        <w:sectPr w:rsidR="00E846D0" w:rsidRPr="0008505F" w:rsidSect="00EA208C">
          <w:type w:val="continuous"/>
          <w:pgSz w:w="12240" w:h="15840"/>
          <w:pgMar w:top="720" w:right="630" w:bottom="720" w:left="720" w:header="720" w:footer="720" w:gutter="0"/>
          <w:cols w:num="2" w:space="360"/>
          <w:docGrid w:linePitch="360"/>
        </w:sectPr>
      </w:pPr>
    </w:p>
    <w:p w14:paraId="4DDE6F36" w14:textId="4A5C9A25" w:rsidR="00B414BD" w:rsidRPr="0008505F" w:rsidRDefault="00B414BD" w:rsidP="00523629">
      <w:pPr>
        <w:spacing w:line="240" w:lineRule="auto"/>
        <w:jc w:val="center"/>
        <w:rPr>
          <w:rFonts w:ascii="Arial Narrow" w:eastAsia="Calibri" w:hAnsi="Arial Narrow" w:cs="Times New Roman"/>
          <w:color w:val="948A54"/>
          <w:sz w:val="14"/>
          <w:szCs w:val="16"/>
        </w:rPr>
      </w:pPr>
      <w:r w:rsidRPr="0008505F">
        <w:rPr>
          <w:rFonts w:ascii="Arial Narrow" w:eastAsia="Calibri" w:hAnsi="Arial Narrow" w:cs="Times New Roman"/>
          <w:color w:val="948A54"/>
          <w:sz w:val="14"/>
          <w:szCs w:val="16"/>
          <w:highlight w:val="yellow"/>
        </w:rPr>
        <w:t>Insert Approved BD Disclaimer and Contact Information</w:t>
      </w:r>
    </w:p>
    <w:p w14:paraId="32D80C39" w14:textId="7658B886" w:rsidR="00523629" w:rsidRPr="008A6919" w:rsidRDefault="00523629" w:rsidP="00523629">
      <w:pPr>
        <w:spacing w:line="240" w:lineRule="auto"/>
        <w:jc w:val="both"/>
        <w:rPr>
          <w:rFonts w:ascii="Arial Narrow" w:eastAsia="Calibri" w:hAnsi="Arial Narrow" w:cs="Times New Roman"/>
          <w:color w:val="948A54"/>
          <w:sz w:val="14"/>
          <w:szCs w:val="14"/>
        </w:rPr>
      </w:pPr>
      <w:r w:rsidRPr="008A6919">
        <w:rPr>
          <w:rFonts w:ascii="Arial Narrow" w:eastAsia="Calibri" w:hAnsi="Arial Narrow" w:cs="Times New Roman"/>
          <w:color w:val="948A54"/>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w:t>
      </w:r>
      <w:r w:rsidR="008B6AD4">
        <w:rPr>
          <w:rFonts w:ascii="Arial Narrow" w:eastAsia="Calibri" w:hAnsi="Arial Narrow" w:cs="Times New Roman"/>
          <w:color w:val="948A54"/>
          <w:sz w:val="14"/>
          <w:szCs w:val="14"/>
        </w:rPr>
        <w:t>, tax or</w:t>
      </w:r>
      <w:r w:rsidRPr="008A6919">
        <w:rPr>
          <w:rFonts w:ascii="Arial Narrow" w:eastAsia="Calibri" w:hAnsi="Arial Narrow" w:cs="Times New Roman"/>
          <w:color w:val="948A54"/>
          <w:sz w:val="14"/>
          <w:szCs w:val="14"/>
        </w:rPr>
        <w:t xml:space="preserve"> financial professional. </w:t>
      </w:r>
      <w:r w:rsidR="0015319C" w:rsidRPr="0015319C">
        <w:rPr>
          <w:rFonts w:ascii="Arial Narrow" w:eastAsia="Calibri" w:hAnsi="Arial Narrow" w:cs="Times New Roman"/>
          <w:color w:val="948A54"/>
          <w:sz w:val="14"/>
          <w:szCs w:val="14"/>
        </w:rPr>
        <w:t>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2559BF0D" w14:textId="4EBCE441" w:rsidR="00523629" w:rsidRPr="008A6919" w:rsidRDefault="00523629" w:rsidP="00523629">
      <w:pPr>
        <w:spacing w:line="240" w:lineRule="auto"/>
        <w:jc w:val="both"/>
        <w:rPr>
          <w:rFonts w:ascii="Arial Narrow" w:eastAsia="Calibri" w:hAnsi="Arial Narrow" w:cs="Times New Roman"/>
          <w:color w:val="948A54"/>
          <w:sz w:val="14"/>
          <w:szCs w:val="14"/>
        </w:rPr>
        <w:sectPr w:rsidR="00523629" w:rsidRPr="008A6919" w:rsidSect="00B82815">
          <w:type w:val="continuous"/>
          <w:pgSz w:w="12240" w:h="15840"/>
          <w:pgMar w:top="720" w:right="720" w:bottom="720" w:left="720" w:header="720" w:footer="720" w:gutter="0"/>
          <w:cols w:space="720"/>
          <w:docGrid w:linePitch="360"/>
        </w:sectPr>
      </w:pPr>
      <w:r w:rsidRPr="008A6919">
        <w:rPr>
          <w:rFonts w:ascii="Arial Narrow" w:eastAsia="Calibri" w:hAnsi="Arial Narrow" w:cs="Times New Roman"/>
          <w:color w:val="948A54"/>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age and income restrictions in regards to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4" w:history="1">
        <w:r w:rsidRPr="008A6919">
          <w:rPr>
            <w:rFonts w:ascii="Arial Narrow" w:hAnsi="Arial Narrow"/>
            <w:color w:val="948A54"/>
            <w:sz w:val="14"/>
            <w:szCs w:val="14"/>
          </w:rPr>
          <w:t>www.IRS.GOV</w:t>
        </w:r>
      </w:hyperlink>
      <w:r w:rsidRPr="008A6919">
        <w:rPr>
          <w:rFonts w:ascii="Arial Narrow" w:eastAsia="Calibri" w:hAnsi="Arial Narrow" w:cs="Times New Roman"/>
          <w:color w:val="948A54"/>
          <w:sz w:val="14"/>
          <w:szCs w:val="14"/>
        </w:rPr>
        <w:t xml:space="preserve"> Publication 590a or consult with a qualified professional. Source: www.irs.gov. Contents Provided by The Academy of Preferred Financial Advisors, Inc.; Reviewed by Keebler &amp; Associates, In</w:t>
      </w:r>
      <w:r w:rsidR="00E119FB">
        <w:rPr>
          <w:rFonts w:ascii="Arial Narrow" w:eastAsia="Calibri" w:hAnsi="Arial Narrow" w:cs="Times New Roman"/>
          <w:color w:val="948A54"/>
          <w:sz w:val="14"/>
          <w:szCs w:val="14"/>
        </w:rPr>
        <w:t>c</w:t>
      </w:r>
      <w:r w:rsidR="00E846D0">
        <w:rPr>
          <w:rFonts w:ascii="Arial Narrow" w:eastAsia="Calibri" w:hAnsi="Arial Narrow" w:cs="Times New Roman"/>
          <w:color w:val="948A54"/>
          <w:sz w:val="14"/>
          <w:szCs w:val="14"/>
        </w:rPr>
        <w:t>.</w:t>
      </w:r>
    </w:p>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E4E5" w14:textId="77777777" w:rsidR="003F70A9" w:rsidRDefault="003F70A9" w:rsidP="000D5B82">
      <w:pPr>
        <w:spacing w:after="0" w:line="240" w:lineRule="auto"/>
      </w:pPr>
      <w:r>
        <w:separator/>
      </w:r>
    </w:p>
  </w:endnote>
  <w:endnote w:type="continuationSeparator" w:id="0">
    <w:p w14:paraId="2C848773" w14:textId="77777777" w:rsidR="003F70A9" w:rsidRDefault="003F70A9"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A52E" w14:textId="77777777" w:rsidR="003F70A9" w:rsidRDefault="003F70A9" w:rsidP="000D5B82">
      <w:pPr>
        <w:spacing w:after="0" w:line="240" w:lineRule="auto"/>
      </w:pPr>
      <w:r>
        <w:separator/>
      </w:r>
    </w:p>
  </w:footnote>
  <w:footnote w:type="continuationSeparator" w:id="0">
    <w:p w14:paraId="6C84797A" w14:textId="77777777" w:rsidR="003F70A9" w:rsidRDefault="003F70A9"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E94"/>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5A62"/>
    <w:rsid w:val="001B601D"/>
    <w:rsid w:val="001B6132"/>
    <w:rsid w:val="001C128B"/>
    <w:rsid w:val="001E490A"/>
    <w:rsid w:val="001F3AC6"/>
    <w:rsid w:val="001F4929"/>
    <w:rsid w:val="001F7415"/>
    <w:rsid w:val="0020733C"/>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B0372"/>
    <w:rsid w:val="002B0CCB"/>
    <w:rsid w:val="002B23CC"/>
    <w:rsid w:val="002B37CA"/>
    <w:rsid w:val="002C1A68"/>
    <w:rsid w:val="002C5934"/>
    <w:rsid w:val="002C6E9C"/>
    <w:rsid w:val="002C730B"/>
    <w:rsid w:val="002D167B"/>
    <w:rsid w:val="002D4BC6"/>
    <w:rsid w:val="002D5E4D"/>
    <w:rsid w:val="002E6344"/>
    <w:rsid w:val="002F1E02"/>
    <w:rsid w:val="0030591C"/>
    <w:rsid w:val="00307967"/>
    <w:rsid w:val="003307E6"/>
    <w:rsid w:val="0033348D"/>
    <w:rsid w:val="003405F6"/>
    <w:rsid w:val="00340C5C"/>
    <w:rsid w:val="003448B7"/>
    <w:rsid w:val="0035115D"/>
    <w:rsid w:val="003656E3"/>
    <w:rsid w:val="00365CD2"/>
    <w:rsid w:val="00374290"/>
    <w:rsid w:val="00375697"/>
    <w:rsid w:val="00384B4D"/>
    <w:rsid w:val="00386B83"/>
    <w:rsid w:val="003955AE"/>
    <w:rsid w:val="00395F94"/>
    <w:rsid w:val="003A1ADE"/>
    <w:rsid w:val="003B3C6C"/>
    <w:rsid w:val="003E0110"/>
    <w:rsid w:val="003E7953"/>
    <w:rsid w:val="003F19A9"/>
    <w:rsid w:val="003F1FFB"/>
    <w:rsid w:val="003F70A9"/>
    <w:rsid w:val="003F7FD6"/>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5A9B"/>
    <w:rsid w:val="004E6AC2"/>
    <w:rsid w:val="004E6C5E"/>
    <w:rsid w:val="004F65AD"/>
    <w:rsid w:val="00506553"/>
    <w:rsid w:val="005101AD"/>
    <w:rsid w:val="005123D6"/>
    <w:rsid w:val="00521C10"/>
    <w:rsid w:val="00523629"/>
    <w:rsid w:val="0053406D"/>
    <w:rsid w:val="005347F4"/>
    <w:rsid w:val="00540764"/>
    <w:rsid w:val="00545B73"/>
    <w:rsid w:val="005474F7"/>
    <w:rsid w:val="00551453"/>
    <w:rsid w:val="00553CC9"/>
    <w:rsid w:val="0055761F"/>
    <w:rsid w:val="00575855"/>
    <w:rsid w:val="005850EB"/>
    <w:rsid w:val="005A4998"/>
    <w:rsid w:val="005B0A09"/>
    <w:rsid w:val="005C0B2C"/>
    <w:rsid w:val="005C1443"/>
    <w:rsid w:val="005C7940"/>
    <w:rsid w:val="005F1EC8"/>
    <w:rsid w:val="00601CAD"/>
    <w:rsid w:val="00602A18"/>
    <w:rsid w:val="006045CF"/>
    <w:rsid w:val="0061081F"/>
    <w:rsid w:val="00615ED9"/>
    <w:rsid w:val="00631DE1"/>
    <w:rsid w:val="006707A3"/>
    <w:rsid w:val="00671948"/>
    <w:rsid w:val="006812C8"/>
    <w:rsid w:val="00682EA0"/>
    <w:rsid w:val="006934AC"/>
    <w:rsid w:val="006B65F9"/>
    <w:rsid w:val="006C4CEA"/>
    <w:rsid w:val="006D0D3C"/>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B2D71"/>
    <w:rsid w:val="007B50D2"/>
    <w:rsid w:val="007B7647"/>
    <w:rsid w:val="007C2895"/>
    <w:rsid w:val="007D0125"/>
    <w:rsid w:val="007D5253"/>
    <w:rsid w:val="007D7FE2"/>
    <w:rsid w:val="007F0805"/>
    <w:rsid w:val="007F1D6F"/>
    <w:rsid w:val="007F2E3E"/>
    <w:rsid w:val="007F6983"/>
    <w:rsid w:val="007F69F1"/>
    <w:rsid w:val="00801ADA"/>
    <w:rsid w:val="00802B38"/>
    <w:rsid w:val="00810E2C"/>
    <w:rsid w:val="00812678"/>
    <w:rsid w:val="00816A3A"/>
    <w:rsid w:val="008317F6"/>
    <w:rsid w:val="0083212B"/>
    <w:rsid w:val="008408E6"/>
    <w:rsid w:val="00840F2F"/>
    <w:rsid w:val="008472DD"/>
    <w:rsid w:val="00862640"/>
    <w:rsid w:val="008721A7"/>
    <w:rsid w:val="00880488"/>
    <w:rsid w:val="00890C77"/>
    <w:rsid w:val="008A4410"/>
    <w:rsid w:val="008B221D"/>
    <w:rsid w:val="008B6AD4"/>
    <w:rsid w:val="008D3349"/>
    <w:rsid w:val="008D7616"/>
    <w:rsid w:val="008E2FC0"/>
    <w:rsid w:val="008E43ED"/>
    <w:rsid w:val="008F65EA"/>
    <w:rsid w:val="00904783"/>
    <w:rsid w:val="00904FC1"/>
    <w:rsid w:val="00907A23"/>
    <w:rsid w:val="009139B8"/>
    <w:rsid w:val="00921D3A"/>
    <w:rsid w:val="00926127"/>
    <w:rsid w:val="00932435"/>
    <w:rsid w:val="009342A5"/>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6D2D"/>
    <w:rsid w:val="009E0BA3"/>
    <w:rsid w:val="009F2477"/>
    <w:rsid w:val="009F4BD6"/>
    <w:rsid w:val="009F6FAD"/>
    <w:rsid w:val="00A0073B"/>
    <w:rsid w:val="00A011D5"/>
    <w:rsid w:val="00A01286"/>
    <w:rsid w:val="00A01371"/>
    <w:rsid w:val="00A055C3"/>
    <w:rsid w:val="00A07BFC"/>
    <w:rsid w:val="00A2016A"/>
    <w:rsid w:val="00A23790"/>
    <w:rsid w:val="00A27E26"/>
    <w:rsid w:val="00A347E4"/>
    <w:rsid w:val="00A42578"/>
    <w:rsid w:val="00A46E42"/>
    <w:rsid w:val="00A55669"/>
    <w:rsid w:val="00A630AA"/>
    <w:rsid w:val="00A7703B"/>
    <w:rsid w:val="00A83A58"/>
    <w:rsid w:val="00A952C7"/>
    <w:rsid w:val="00A97949"/>
    <w:rsid w:val="00AB0B66"/>
    <w:rsid w:val="00AB70CF"/>
    <w:rsid w:val="00AC5A17"/>
    <w:rsid w:val="00AD1CD0"/>
    <w:rsid w:val="00AD2500"/>
    <w:rsid w:val="00AD6E73"/>
    <w:rsid w:val="00AE271F"/>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956"/>
    <w:rsid w:val="00B70CDD"/>
    <w:rsid w:val="00B75CB3"/>
    <w:rsid w:val="00B8751E"/>
    <w:rsid w:val="00B87E0D"/>
    <w:rsid w:val="00B94EF4"/>
    <w:rsid w:val="00B96A60"/>
    <w:rsid w:val="00BA58B6"/>
    <w:rsid w:val="00BB3713"/>
    <w:rsid w:val="00BC1C73"/>
    <w:rsid w:val="00BC44D3"/>
    <w:rsid w:val="00BC550F"/>
    <w:rsid w:val="00BC6B9F"/>
    <w:rsid w:val="00BC7FB3"/>
    <w:rsid w:val="00BD13E9"/>
    <w:rsid w:val="00BD65DD"/>
    <w:rsid w:val="00BF2A42"/>
    <w:rsid w:val="00BF3920"/>
    <w:rsid w:val="00C00DB2"/>
    <w:rsid w:val="00C14A86"/>
    <w:rsid w:val="00C21AFF"/>
    <w:rsid w:val="00C236B2"/>
    <w:rsid w:val="00C2539B"/>
    <w:rsid w:val="00C2646F"/>
    <w:rsid w:val="00C326B4"/>
    <w:rsid w:val="00C432E9"/>
    <w:rsid w:val="00C47C75"/>
    <w:rsid w:val="00C50815"/>
    <w:rsid w:val="00C55FC2"/>
    <w:rsid w:val="00C60883"/>
    <w:rsid w:val="00C63D33"/>
    <w:rsid w:val="00C711E0"/>
    <w:rsid w:val="00C77556"/>
    <w:rsid w:val="00C846C6"/>
    <w:rsid w:val="00C902EE"/>
    <w:rsid w:val="00CA2BAE"/>
    <w:rsid w:val="00CA7B48"/>
    <w:rsid w:val="00CA7FF6"/>
    <w:rsid w:val="00CB6DCE"/>
    <w:rsid w:val="00CC690B"/>
    <w:rsid w:val="00CD3412"/>
    <w:rsid w:val="00CD4784"/>
    <w:rsid w:val="00CD514B"/>
    <w:rsid w:val="00CE4882"/>
    <w:rsid w:val="00D05BBB"/>
    <w:rsid w:val="00D07537"/>
    <w:rsid w:val="00D205EB"/>
    <w:rsid w:val="00D20AD9"/>
    <w:rsid w:val="00D210A6"/>
    <w:rsid w:val="00D23575"/>
    <w:rsid w:val="00D403CE"/>
    <w:rsid w:val="00D524CB"/>
    <w:rsid w:val="00D57AB8"/>
    <w:rsid w:val="00D645C4"/>
    <w:rsid w:val="00D648E8"/>
    <w:rsid w:val="00D659CD"/>
    <w:rsid w:val="00D7434D"/>
    <w:rsid w:val="00D8567C"/>
    <w:rsid w:val="00DA010F"/>
    <w:rsid w:val="00DA1A9C"/>
    <w:rsid w:val="00DA2334"/>
    <w:rsid w:val="00DB3710"/>
    <w:rsid w:val="00DB5A67"/>
    <w:rsid w:val="00DB6E73"/>
    <w:rsid w:val="00DC1221"/>
    <w:rsid w:val="00DD5279"/>
    <w:rsid w:val="00DE325E"/>
    <w:rsid w:val="00DE6627"/>
    <w:rsid w:val="00DF5A78"/>
    <w:rsid w:val="00E00550"/>
    <w:rsid w:val="00E04A8C"/>
    <w:rsid w:val="00E119FB"/>
    <w:rsid w:val="00E20F44"/>
    <w:rsid w:val="00E21890"/>
    <w:rsid w:val="00E27FC2"/>
    <w:rsid w:val="00E3018F"/>
    <w:rsid w:val="00E302A9"/>
    <w:rsid w:val="00E32C1D"/>
    <w:rsid w:val="00E34AF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F01FCB"/>
    <w:rsid w:val="00F04976"/>
    <w:rsid w:val="00F04FA8"/>
    <w:rsid w:val="00F1338F"/>
    <w:rsid w:val="00F14B46"/>
    <w:rsid w:val="00F23209"/>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4</cp:revision>
  <cp:lastPrinted>2020-03-02T18:02:00Z</cp:lastPrinted>
  <dcterms:created xsi:type="dcterms:W3CDTF">2020-03-02T21:27:00Z</dcterms:created>
  <dcterms:modified xsi:type="dcterms:W3CDTF">2020-04-24T19:56:00Z</dcterms:modified>
</cp:coreProperties>
</file>