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4BD32" w14:textId="4D5790EC" w:rsidR="00B414BD" w:rsidRDefault="00A819C9" w:rsidP="00B414BD">
      <w:r w:rsidRPr="00755EE1">
        <w:rPr>
          <w:noProof/>
        </w:rPr>
        <w:drawing>
          <wp:anchor distT="0" distB="0" distL="114300" distR="114300" simplePos="0" relativeHeight="251659264" behindDoc="0" locked="0" layoutInCell="1" allowOverlap="1" wp14:anchorId="4190F688" wp14:editId="0147B877">
            <wp:simplePos x="0" y="0"/>
            <wp:positionH relativeFrom="column">
              <wp:posOffset>-4445</wp:posOffset>
            </wp:positionH>
            <wp:positionV relativeFrom="paragraph">
              <wp:posOffset>36195</wp:posOffset>
            </wp:positionV>
            <wp:extent cx="2282190" cy="134620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19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95D" w:rsidRPr="00E02063">
        <w:rPr>
          <w:b/>
          <w:noProof/>
          <w:color w:val="2E74B5" w:themeColor="accent5" w:themeShade="BF"/>
          <w:sz w:val="4"/>
          <w:szCs w:val="4"/>
        </w:rPr>
        <mc:AlternateContent>
          <mc:Choice Requires="wps">
            <w:drawing>
              <wp:anchor distT="45720" distB="45720" distL="114300" distR="114300" simplePos="0" relativeHeight="251660288" behindDoc="0" locked="0" layoutInCell="1" allowOverlap="1" wp14:anchorId="513E00C2" wp14:editId="23F68457">
                <wp:simplePos x="0" y="0"/>
                <wp:positionH relativeFrom="margin">
                  <wp:align>right</wp:align>
                </wp:positionH>
                <wp:positionV relativeFrom="paragraph">
                  <wp:posOffset>167640</wp:posOffset>
                </wp:positionV>
                <wp:extent cx="4515810" cy="11887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810" cy="1188720"/>
                        </a:xfrm>
                        <a:prstGeom prst="rect">
                          <a:avLst/>
                        </a:prstGeom>
                        <a:solidFill>
                          <a:srgbClr val="FFFFFF"/>
                        </a:solidFill>
                        <a:ln w="9525">
                          <a:noFill/>
                          <a:miter lim="800000"/>
                          <a:headEnd/>
                          <a:tailEnd/>
                        </a:ln>
                      </wps:spPr>
                      <wps:txbx>
                        <w:txbxContent>
                          <w:p w14:paraId="14B52649" w14:textId="6F4B62DD" w:rsidR="00B414BD" w:rsidRPr="00A819C9" w:rsidRDefault="00E0189C" w:rsidP="00E81C3E">
                            <w:pPr>
                              <w:spacing w:after="0" w:line="240" w:lineRule="auto"/>
                              <w:ind w:left="-90"/>
                              <w:rPr>
                                <w:rFonts w:ascii="Arial Narrow" w:hAnsi="Arial Narrow"/>
                                <w:b/>
                                <w:color w:val="002060"/>
                                <w:sz w:val="36"/>
                                <w:szCs w:val="40"/>
                              </w:rPr>
                            </w:pPr>
                            <w:r w:rsidRPr="00DA282B">
                              <w:rPr>
                                <w:rFonts w:ascii="Arial Narrow" w:hAnsi="Arial Narrow"/>
                                <w:b/>
                                <w:color w:val="002060"/>
                                <w:sz w:val="44"/>
                                <w:szCs w:val="48"/>
                              </w:rPr>
                              <w:t xml:space="preserve">ROTH and Traditional </w:t>
                            </w:r>
                            <w:r w:rsidR="00CC11CD" w:rsidRPr="00DA282B">
                              <w:rPr>
                                <w:rFonts w:ascii="Arial Narrow" w:hAnsi="Arial Narrow"/>
                                <w:b/>
                                <w:color w:val="002060"/>
                                <w:sz w:val="44"/>
                                <w:szCs w:val="48"/>
                              </w:rPr>
                              <w:t>IRAs</w:t>
                            </w:r>
                            <w:r w:rsidR="00DA282B" w:rsidRPr="00DA282B">
                              <w:rPr>
                                <w:rFonts w:ascii="Arial Narrow" w:hAnsi="Arial Narrow"/>
                                <w:b/>
                                <w:color w:val="002060"/>
                                <w:sz w:val="44"/>
                                <w:szCs w:val="48"/>
                              </w:rPr>
                              <w:t xml:space="preserve"> -</w:t>
                            </w:r>
                            <w:r w:rsidR="00E81C3E" w:rsidRPr="00DA282B">
                              <w:rPr>
                                <w:rFonts w:ascii="Arial Narrow" w:hAnsi="Arial Narrow"/>
                                <w:b/>
                                <w:color w:val="002060"/>
                                <w:sz w:val="44"/>
                                <w:szCs w:val="48"/>
                              </w:rPr>
                              <w:t xml:space="preserve"> </w:t>
                            </w:r>
                            <w:r w:rsidR="00DA282B">
                              <w:rPr>
                                <w:rFonts w:ascii="Arial Narrow" w:hAnsi="Arial Narrow"/>
                                <w:b/>
                                <w:color w:val="002060"/>
                                <w:sz w:val="36"/>
                                <w:szCs w:val="40"/>
                              </w:rPr>
                              <w:br/>
                            </w:r>
                            <w:r w:rsidR="005B3893" w:rsidRPr="00DA282B">
                              <w:rPr>
                                <w:rFonts w:ascii="Arial Narrow" w:hAnsi="Arial Narrow"/>
                                <w:b/>
                                <w:color w:val="002060"/>
                                <w:sz w:val="34"/>
                                <w:szCs w:val="34"/>
                              </w:rPr>
                              <w:t xml:space="preserve">Strategies for </w:t>
                            </w:r>
                            <w:r w:rsidR="00CC518D" w:rsidRPr="00DA282B">
                              <w:rPr>
                                <w:rFonts w:ascii="Arial Narrow" w:hAnsi="Arial Narrow"/>
                                <w:b/>
                                <w:color w:val="002060"/>
                                <w:sz w:val="34"/>
                                <w:szCs w:val="34"/>
                              </w:rPr>
                              <w:t>B</w:t>
                            </w:r>
                            <w:r w:rsidR="005B3893" w:rsidRPr="00DA282B">
                              <w:rPr>
                                <w:rFonts w:ascii="Arial Narrow" w:hAnsi="Arial Narrow"/>
                                <w:b/>
                                <w:color w:val="002060"/>
                                <w:sz w:val="34"/>
                                <w:szCs w:val="34"/>
                              </w:rPr>
                              <w:t xml:space="preserve">uilding </w:t>
                            </w:r>
                            <w:r w:rsidR="00CC518D" w:rsidRPr="00DA282B">
                              <w:rPr>
                                <w:rFonts w:ascii="Arial Narrow" w:hAnsi="Arial Narrow"/>
                                <w:b/>
                                <w:color w:val="002060"/>
                                <w:sz w:val="34"/>
                                <w:szCs w:val="34"/>
                              </w:rPr>
                              <w:t>Y</w:t>
                            </w:r>
                            <w:r w:rsidR="005B3893" w:rsidRPr="00DA282B">
                              <w:rPr>
                                <w:rFonts w:ascii="Arial Narrow" w:hAnsi="Arial Narrow"/>
                                <w:b/>
                                <w:color w:val="002060"/>
                                <w:sz w:val="34"/>
                                <w:szCs w:val="34"/>
                              </w:rPr>
                              <w:t xml:space="preserve">our </w:t>
                            </w:r>
                            <w:r w:rsidR="00CC518D" w:rsidRPr="00DA282B">
                              <w:rPr>
                                <w:rFonts w:ascii="Arial Narrow" w:hAnsi="Arial Narrow"/>
                                <w:b/>
                                <w:color w:val="002060"/>
                                <w:sz w:val="34"/>
                                <w:szCs w:val="34"/>
                              </w:rPr>
                              <w:t>R</w:t>
                            </w:r>
                            <w:r w:rsidR="005B3893" w:rsidRPr="00DA282B">
                              <w:rPr>
                                <w:rFonts w:ascii="Arial Narrow" w:hAnsi="Arial Narrow"/>
                                <w:b/>
                                <w:color w:val="002060"/>
                                <w:sz w:val="34"/>
                                <w:szCs w:val="34"/>
                              </w:rPr>
                              <w:t>etirement</w:t>
                            </w:r>
                            <w:r w:rsidR="00E81C3E" w:rsidRPr="00DA282B">
                              <w:rPr>
                                <w:rFonts w:ascii="Arial Narrow" w:hAnsi="Arial Narrow"/>
                                <w:b/>
                                <w:color w:val="002060"/>
                                <w:sz w:val="34"/>
                                <w:szCs w:val="34"/>
                              </w:rPr>
                              <w:t xml:space="preserve"> in 202</w:t>
                            </w:r>
                            <w:r w:rsidR="00DA282B" w:rsidRPr="00DA282B">
                              <w:rPr>
                                <w:rFonts w:ascii="Arial Narrow" w:hAnsi="Arial Narrow"/>
                                <w:b/>
                                <w:color w:val="002060"/>
                                <w:sz w:val="34"/>
                                <w:szCs w:val="34"/>
                              </w:rPr>
                              <w:t>5</w:t>
                            </w:r>
                            <w:r w:rsidR="005B3893" w:rsidRPr="00A819C9">
                              <w:rPr>
                                <w:rFonts w:ascii="Arial Narrow" w:hAnsi="Arial Narrow"/>
                                <w:b/>
                                <w:color w:val="002060"/>
                                <w:sz w:val="36"/>
                                <w:szCs w:val="40"/>
                              </w:rPr>
                              <w:t xml:space="preserve"> </w:t>
                            </w:r>
                            <w:r w:rsidR="00B414BD" w:rsidRPr="00A819C9">
                              <w:rPr>
                                <w:rFonts w:ascii="Arial Narrow" w:hAnsi="Arial Narrow"/>
                                <w:b/>
                                <w:color w:val="002060"/>
                                <w:sz w:val="36"/>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E00C2" id="_x0000_t202" coordsize="21600,21600" o:spt="202" path="m,l,21600r21600,l21600,xe">
                <v:stroke joinstyle="miter"/>
                <v:path gradientshapeok="t" o:connecttype="rect"/>
              </v:shapetype>
              <v:shape id="Text Box 2" o:spid="_x0000_s1026" type="#_x0000_t202" style="position:absolute;margin-left:304.4pt;margin-top:13.2pt;width:355.6pt;height:93.6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l2DAIAAPcDAAAOAAAAZHJzL2Uyb0RvYy54bWysU9tu2zAMfR+wfxD0vjgOki014hRdugwD&#10;ugvQ7QNkWY6FyaJGKbGzrx8lu2nQvQ3Tg0CK1BF5eLS5HTrDTgq9BlvyfDbnTFkJtbaHkv/4vn+z&#10;5swHYWthwKqSn5Xnt9vXrza9K9QCWjC1QkYg1he9K3kbgiuyzMtWdcLPwClLwQawE4FcPGQ1ip7Q&#10;O5Mt5vO3WQ9YOwSpvKfT+zHItwm/aZQMX5vGq8BMyam2kHZMexX3bLsRxQGFa7WcyhD/UEUntKVH&#10;L1D3Igh2RP0XVKclgocmzCR0GTSNlir1QN3k8xfdPLbCqdQLkePdhSb//2Dll9Oj+4YsDO9hoAGm&#10;Jrx7APnTMwu7VtiDukOEvlWipofzSFnWO19MVyPVvvARpOo/Q01DFscACWhosIusUJ+M0GkA5wvp&#10;aghM0uFyla/WOYUkxfJ8vX63SGPJRPF03aEPHxV0LBolR5pqghenBx9iOaJ4SomveTC63mtjkoOH&#10;ameQnQQpYJ9W6uBFmrGsL/nNarFKyBbi/SSOTgdSqNFdydfzuEbNRDo+2DqlBKHNaFMlxk78REpG&#10;csJQDZQYeaqgPhNTCKMS6eeQ0QL+5qwnFZbc/zoKVJyZT5bYvsmXyyjb5CxXkRqG15HqOiKsJKiS&#10;B85GcxeS1CMPFu5oKo1OfD1XMtVK6ko0Tj8hyvfaT1nP/3X7BwAA//8DAFBLAwQUAAYACAAAACEA&#10;OZ3iu9wAAAAHAQAADwAAAGRycy9kb3ducmV2LnhtbEyPQU+DQBCF7yb+h82YeDF2ASsosjRqoum1&#10;tT9ggCkQ2VnCbgv9944nPc57L+99U2wWO6gzTb53bCBeRaCIa9f03Bo4fH3cP4HyAbnBwTEZuJCH&#10;TXl9VWDeuJl3dN6HVkkJ+xwNdCGMuda+7siiX7mRWLyjmywGOadWNxPOUm4HnURRqi32LAsdjvTe&#10;Uf29P1kDx+189/g8V5/hkO3W6Rv2WeUuxtzeLK8voAIt4S8Mv/iCDqUwVe7EjVeDAXkkGEjSNShx&#10;szhOQFUixA8p6LLQ//nLHwAAAP//AwBQSwECLQAUAAYACAAAACEAtoM4kv4AAADhAQAAEwAAAAAA&#10;AAAAAAAAAAAAAAAAW0NvbnRlbnRfVHlwZXNdLnhtbFBLAQItABQABgAIAAAAIQA4/SH/1gAAAJQB&#10;AAALAAAAAAAAAAAAAAAAAC8BAABfcmVscy8ucmVsc1BLAQItABQABgAIAAAAIQDE9Bl2DAIAAPcD&#10;AAAOAAAAAAAAAAAAAAAAAC4CAABkcnMvZTJvRG9jLnhtbFBLAQItABQABgAIAAAAIQA5neK73AAA&#10;AAcBAAAPAAAAAAAAAAAAAAAAAGYEAABkcnMvZG93bnJldi54bWxQSwUGAAAAAAQABADzAAAAbwUA&#10;AAAA&#10;" stroked="f">
                <v:textbox>
                  <w:txbxContent>
                    <w:p w14:paraId="14B52649" w14:textId="6F4B62DD" w:rsidR="00B414BD" w:rsidRPr="00A819C9" w:rsidRDefault="00E0189C" w:rsidP="00E81C3E">
                      <w:pPr>
                        <w:spacing w:after="0" w:line="240" w:lineRule="auto"/>
                        <w:ind w:left="-90"/>
                        <w:rPr>
                          <w:rFonts w:ascii="Arial Narrow" w:hAnsi="Arial Narrow"/>
                          <w:b/>
                          <w:color w:val="002060"/>
                          <w:sz w:val="36"/>
                          <w:szCs w:val="40"/>
                        </w:rPr>
                      </w:pPr>
                      <w:r w:rsidRPr="00DA282B">
                        <w:rPr>
                          <w:rFonts w:ascii="Arial Narrow" w:hAnsi="Arial Narrow"/>
                          <w:b/>
                          <w:color w:val="002060"/>
                          <w:sz w:val="44"/>
                          <w:szCs w:val="48"/>
                        </w:rPr>
                        <w:t xml:space="preserve">ROTH and Traditional </w:t>
                      </w:r>
                      <w:r w:rsidR="00CC11CD" w:rsidRPr="00DA282B">
                        <w:rPr>
                          <w:rFonts w:ascii="Arial Narrow" w:hAnsi="Arial Narrow"/>
                          <w:b/>
                          <w:color w:val="002060"/>
                          <w:sz w:val="44"/>
                          <w:szCs w:val="48"/>
                        </w:rPr>
                        <w:t>IRAs</w:t>
                      </w:r>
                      <w:r w:rsidR="00DA282B" w:rsidRPr="00DA282B">
                        <w:rPr>
                          <w:rFonts w:ascii="Arial Narrow" w:hAnsi="Arial Narrow"/>
                          <w:b/>
                          <w:color w:val="002060"/>
                          <w:sz w:val="44"/>
                          <w:szCs w:val="48"/>
                        </w:rPr>
                        <w:t xml:space="preserve"> -</w:t>
                      </w:r>
                      <w:r w:rsidR="00E81C3E" w:rsidRPr="00DA282B">
                        <w:rPr>
                          <w:rFonts w:ascii="Arial Narrow" w:hAnsi="Arial Narrow"/>
                          <w:b/>
                          <w:color w:val="002060"/>
                          <w:sz w:val="44"/>
                          <w:szCs w:val="48"/>
                        </w:rPr>
                        <w:t xml:space="preserve"> </w:t>
                      </w:r>
                      <w:r w:rsidR="00DA282B">
                        <w:rPr>
                          <w:rFonts w:ascii="Arial Narrow" w:hAnsi="Arial Narrow"/>
                          <w:b/>
                          <w:color w:val="002060"/>
                          <w:sz w:val="36"/>
                          <w:szCs w:val="40"/>
                        </w:rPr>
                        <w:br/>
                      </w:r>
                      <w:r w:rsidR="005B3893" w:rsidRPr="00DA282B">
                        <w:rPr>
                          <w:rFonts w:ascii="Arial Narrow" w:hAnsi="Arial Narrow"/>
                          <w:b/>
                          <w:color w:val="002060"/>
                          <w:sz w:val="34"/>
                          <w:szCs w:val="34"/>
                        </w:rPr>
                        <w:t xml:space="preserve">Strategies for </w:t>
                      </w:r>
                      <w:r w:rsidR="00CC518D" w:rsidRPr="00DA282B">
                        <w:rPr>
                          <w:rFonts w:ascii="Arial Narrow" w:hAnsi="Arial Narrow"/>
                          <w:b/>
                          <w:color w:val="002060"/>
                          <w:sz w:val="34"/>
                          <w:szCs w:val="34"/>
                        </w:rPr>
                        <w:t>B</w:t>
                      </w:r>
                      <w:r w:rsidR="005B3893" w:rsidRPr="00DA282B">
                        <w:rPr>
                          <w:rFonts w:ascii="Arial Narrow" w:hAnsi="Arial Narrow"/>
                          <w:b/>
                          <w:color w:val="002060"/>
                          <w:sz w:val="34"/>
                          <w:szCs w:val="34"/>
                        </w:rPr>
                        <w:t xml:space="preserve">uilding </w:t>
                      </w:r>
                      <w:r w:rsidR="00CC518D" w:rsidRPr="00DA282B">
                        <w:rPr>
                          <w:rFonts w:ascii="Arial Narrow" w:hAnsi="Arial Narrow"/>
                          <w:b/>
                          <w:color w:val="002060"/>
                          <w:sz w:val="34"/>
                          <w:szCs w:val="34"/>
                        </w:rPr>
                        <w:t>Y</w:t>
                      </w:r>
                      <w:r w:rsidR="005B3893" w:rsidRPr="00DA282B">
                        <w:rPr>
                          <w:rFonts w:ascii="Arial Narrow" w:hAnsi="Arial Narrow"/>
                          <w:b/>
                          <w:color w:val="002060"/>
                          <w:sz w:val="34"/>
                          <w:szCs w:val="34"/>
                        </w:rPr>
                        <w:t xml:space="preserve">our </w:t>
                      </w:r>
                      <w:r w:rsidR="00CC518D" w:rsidRPr="00DA282B">
                        <w:rPr>
                          <w:rFonts w:ascii="Arial Narrow" w:hAnsi="Arial Narrow"/>
                          <w:b/>
                          <w:color w:val="002060"/>
                          <w:sz w:val="34"/>
                          <w:szCs w:val="34"/>
                        </w:rPr>
                        <w:t>R</w:t>
                      </w:r>
                      <w:r w:rsidR="005B3893" w:rsidRPr="00DA282B">
                        <w:rPr>
                          <w:rFonts w:ascii="Arial Narrow" w:hAnsi="Arial Narrow"/>
                          <w:b/>
                          <w:color w:val="002060"/>
                          <w:sz w:val="34"/>
                          <w:szCs w:val="34"/>
                        </w:rPr>
                        <w:t>etirement</w:t>
                      </w:r>
                      <w:r w:rsidR="00E81C3E" w:rsidRPr="00DA282B">
                        <w:rPr>
                          <w:rFonts w:ascii="Arial Narrow" w:hAnsi="Arial Narrow"/>
                          <w:b/>
                          <w:color w:val="002060"/>
                          <w:sz w:val="34"/>
                          <w:szCs w:val="34"/>
                        </w:rPr>
                        <w:t xml:space="preserve"> in 202</w:t>
                      </w:r>
                      <w:r w:rsidR="00DA282B" w:rsidRPr="00DA282B">
                        <w:rPr>
                          <w:rFonts w:ascii="Arial Narrow" w:hAnsi="Arial Narrow"/>
                          <w:b/>
                          <w:color w:val="002060"/>
                          <w:sz w:val="34"/>
                          <w:szCs w:val="34"/>
                        </w:rPr>
                        <w:t>5</w:t>
                      </w:r>
                      <w:r w:rsidR="005B3893" w:rsidRPr="00A819C9">
                        <w:rPr>
                          <w:rFonts w:ascii="Arial Narrow" w:hAnsi="Arial Narrow"/>
                          <w:b/>
                          <w:color w:val="002060"/>
                          <w:sz w:val="36"/>
                          <w:szCs w:val="40"/>
                        </w:rPr>
                        <w:t xml:space="preserve"> </w:t>
                      </w:r>
                      <w:r w:rsidR="00B414BD" w:rsidRPr="00A819C9">
                        <w:rPr>
                          <w:rFonts w:ascii="Arial Narrow" w:hAnsi="Arial Narrow"/>
                          <w:b/>
                          <w:color w:val="002060"/>
                          <w:sz w:val="36"/>
                          <w:szCs w:val="40"/>
                        </w:rPr>
                        <w:t xml:space="preserve">  </w:t>
                      </w:r>
                    </w:p>
                  </w:txbxContent>
                </v:textbox>
                <w10:wrap anchorx="margin"/>
              </v:shape>
            </w:pict>
          </mc:Fallback>
        </mc:AlternateContent>
      </w:r>
    </w:p>
    <w:p w14:paraId="5E2B15C2" w14:textId="406F156B" w:rsidR="00B414BD" w:rsidRDefault="00B414BD" w:rsidP="00B414BD"/>
    <w:p w14:paraId="35EE9136" w14:textId="7B9D425A" w:rsidR="00B414BD" w:rsidRPr="000D5B82" w:rsidRDefault="00B414BD" w:rsidP="00B414BD">
      <w:pPr>
        <w:rPr>
          <w:sz w:val="6"/>
        </w:rPr>
      </w:pPr>
    </w:p>
    <w:p w14:paraId="1C45A760" w14:textId="06826DDD" w:rsidR="00B414BD" w:rsidRDefault="00B414BD" w:rsidP="00B414BD">
      <w:pPr>
        <w:spacing w:line="240" w:lineRule="auto"/>
        <w:jc w:val="both"/>
        <w:rPr>
          <w:b/>
          <w:sz w:val="12"/>
          <w:szCs w:val="6"/>
        </w:rPr>
      </w:pPr>
    </w:p>
    <w:p w14:paraId="04A7AE5D" w14:textId="0F3B715C" w:rsidR="000D095D" w:rsidRDefault="000D095D" w:rsidP="00B414BD">
      <w:pPr>
        <w:spacing w:line="240" w:lineRule="auto"/>
        <w:jc w:val="both"/>
        <w:rPr>
          <w:b/>
          <w:sz w:val="12"/>
          <w:szCs w:val="6"/>
        </w:rPr>
      </w:pPr>
    </w:p>
    <w:p w14:paraId="3BEA67C1" w14:textId="1971E203" w:rsidR="000D095D" w:rsidRDefault="000D095D" w:rsidP="00B414BD">
      <w:pPr>
        <w:spacing w:line="240" w:lineRule="auto"/>
        <w:jc w:val="both"/>
        <w:rPr>
          <w:b/>
          <w:sz w:val="12"/>
          <w:szCs w:val="6"/>
        </w:rPr>
      </w:pPr>
    </w:p>
    <w:p w14:paraId="6C356165" w14:textId="1BEDAF7A" w:rsidR="00AD6013" w:rsidRDefault="00A819C9" w:rsidP="00B414BD">
      <w:pPr>
        <w:spacing w:line="240" w:lineRule="auto"/>
        <w:jc w:val="both"/>
        <w:rPr>
          <w:b/>
          <w:sz w:val="12"/>
          <w:szCs w:val="6"/>
        </w:rPr>
      </w:pPr>
      <w:r>
        <w:rPr>
          <w:b/>
          <w:sz w:val="12"/>
          <w:szCs w:val="6"/>
        </w:rPr>
        <w:br/>
      </w:r>
    </w:p>
    <w:p w14:paraId="305E88D9" w14:textId="0C221FBE" w:rsidR="005147BF" w:rsidRPr="00F44C77" w:rsidRDefault="00F0288B" w:rsidP="005147BF">
      <w:pPr>
        <w:pBdr>
          <w:top w:val="single" w:sz="18" w:space="1" w:color="auto"/>
        </w:pBdr>
        <w:spacing w:line="240" w:lineRule="auto"/>
        <w:jc w:val="both"/>
        <w:rPr>
          <w:b/>
          <w:color w:val="7030A0"/>
          <w:sz w:val="4"/>
          <w:szCs w:val="4"/>
        </w:rPr>
      </w:pPr>
      <w:r w:rsidRPr="00F0288B">
        <w:rPr>
          <w:noProof/>
        </w:rPr>
        <w:drawing>
          <wp:anchor distT="0" distB="0" distL="114300" distR="114300" simplePos="0" relativeHeight="251716608" behindDoc="0" locked="0" layoutInCell="1" allowOverlap="1" wp14:anchorId="77A36BAC" wp14:editId="19840EB1">
            <wp:simplePos x="0" y="0"/>
            <wp:positionH relativeFrom="margin">
              <wp:align>right</wp:align>
            </wp:positionH>
            <wp:positionV relativeFrom="paragraph">
              <wp:posOffset>173355</wp:posOffset>
            </wp:positionV>
            <wp:extent cx="2865755" cy="1763395"/>
            <wp:effectExtent l="19050" t="19050" r="10795" b="27305"/>
            <wp:wrapSquare wrapText="bothSides"/>
            <wp:docPr id="81632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22023" name="Picture 1"/>
                    <pic:cNvPicPr/>
                  </pic:nvPicPr>
                  <pic:blipFill>
                    <a:blip r:embed="rId9">
                      <a:extLst>
                        <a:ext uri="{28A0092B-C50C-407E-A947-70E740481C1C}">
                          <a14:useLocalDpi xmlns:a14="http://schemas.microsoft.com/office/drawing/2010/main" val="0"/>
                        </a:ext>
                      </a:extLst>
                    </a:blip>
                    <a:srcRect t="3" b="3"/>
                    <a:stretch>
                      <a:fillRect/>
                    </a:stretch>
                  </pic:blipFill>
                  <pic:spPr bwMode="auto">
                    <a:xfrm>
                      <a:off x="0" y="0"/>
                      <a:ext cx="2865755" cy="1763451"/>
                    </a:xfrm>
                    <a:prstGeom prst="rect">
                      <a:avLst/>
                    </a:prstGeom>
                    <a:ln w="9525" cap="flat" cmpd="sng" algn="ctr">
                      <a:solidFill>
                        <a:srgbClr val="FFC000">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090BA" w14:textId="3B99FBBB" w:rsidR="00B414BD" w:rsidRPr="00B23E6C" w:rsidRDefault="00A45734" w:rsidP="00B414BD">
      <w:pPr>
        <w:spacing w:line="240" w:lineRule="auto"/>
        <w:jc w:val="both"/>
        <w:rPr>
          <w:szCs w:val="20"/>
        </w:rPr>
      </w:pPr>
      <w:r>
        <w:rPr>
          <w:noProof/>
        </w:rPr>
        <w:t>R</w:t>
      </w:r>
      <w:r w:rsidR="00DA282B">
        <w:rPr>
          <w:noProof/>
        </w:rPr>
        <w:t xml:space="preserve">etirement </w:t>
      </w:r>
      <w:r>
        <w:rPr>
          <w:noProof/>
        </w:rPr>
        <w:t xml:space="preserve">savers </w:t>
      </w:r>
      <w:r w:rsidR="00DA282B">
        <w:rPr>
          <w:noProof/>
        </w:rPr>
        <w:t xml:space="preserve">understand the importance of being proactive. Having healthy retirement savings can help you live comfortably in your later years. As stewards of our clients' wealth, we take great satisfaction in </w:t>
      </w:r>
      <w:r>
        <w:rPr>
          <w:noProof/>
        </w:rPr>
        <w:t xml:space="preserve">helping them prepare for retirement. We also enjoy </w:t>
      </w:r>
      <w:r w:rsidR="00DA282B">
        <w:rPr>
          <w:noProof/>
        </w:rPr>
        <w:t>assisting parents and grandparents who wish to contribute to their loved ones' futures by properly gifting funds to a retirement account, provided the recipient has earned income and qualifies. Funding retirement accounts at younger age</w:t>
      </w:r>
      <w:r>
        <w:rPr>
          <w:noProof/>
        </w:rPr>
        <w:t>s</w:t>
      </w:r>
      <w:r w:rsidR="00DA282B">
        <w:rPr>
          <w:noProof/>
        </w:rPr>
        <w:t xml:space="preserve"> can significantly improve the chances of enjoying a comfortable financial situation during retirement.</w:t>
      </w:r>
    </w:p>
    <w:p w14:paraId="663D0403" w14:textId="3DB104B4" w:rsidR="00B414BD" w:rsidRPr="00F44C77" w:rsidRDefault="00EF4C49" w:rsidP="00B414BD">
      <w:pPr>
        <w:spacing w:line="240" w:lineRule="auto"/>
        <w:jc w:val="both"/>
        <w:rPr>
          <w:b/>
          <w:bCs/>
          <w:color w:val="7030A0"/>
          <w:szCs w:val="20"/>
        </w:rPr>
      </w:pPr>
      <w:r w:rsidRPr="00B23E6C">
        <w:rPr>
          <w:noProof/>
          <w:sz w:val="20"/>
          <w:szCs w:val="20"/>
        </w:rPr>
        <mc:AlternateContent>
          <mc:Choice Requires="wps">
            <w:drawing>
              <wp:anchor distT="45720" distB="45720" distL="114300" distR="114300" simplePos="0" relativeHeight="251677696" behindDoc="0" locked="0" layoutInCell="1" allowOverlap="1" wp14:anchorId="3F600ABA" wp14:editId="7FD1FCF4">
                <wp:simplePos x="0" y="0"/>
                <wp:positionH relativeFrom="margin">
                  <wp:align>right</wp:align>
                </wp:positionH>
                <wp:positionV relativeFrom="paragraph">
                  <wp:posOffset>630868</wp:posOffset>
                </wp:positionV>
                <wp:extent cx="6921500" cy="469900"/>
                <wp:effectExtent l="0" t="0" r="0" b="63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469900"/>
                        </a:xfrm>
                        <a:prstGeom prst="rect">
                          <a:avLst/>
                        </a:prstGeom>
                        <a:solidFill>
                          <a:schemeClr val="accent5">
                            <a:lumMod val="50000"/>
                          </a:schemeClr>
                        </a:solidFill>
                        <a:ln w="9525">
                          <a:noFill/>
                          <a:miter lim="800000"/>
                          <a:headEnd/>
                          <a:tailEnd/>
                        </a:ln>
                      </wps:spPr>
                      <wps:txbx>
                        <w:txbxContent>
                          <w:p w14:paraId="26952172" w14:textId="50631D71" w:rsidR="000D095D" w:rsidRPr="000D095D" w:rsidRDefault="000D095D" w:rsidP="000D095D">
                            <w:pPr>
                              <w:spacing w:after="0" w:line="240" w:lineRule="auto"/>
                              <w:jc w:val="both"/>
                              <w:rPr>
                                <w:bCs/>
                                <w:color w:val="FFFFFF" w:themeColor="background1"/>
                                <w:szCs w:val="20"/>
                              </w:rPr>
                            </w:pPr>
                            <w:bookmarkStart w:id="0" w:name="_Hlk2159754"/>
                            <w:r w:rsidRPr="000D095D">
                              <w:rPr>
                                <w:bCs/>
                                <w:color w:val="FFFFFF" w:themeColor="background1"/>
                                <w:szCs w:val="20"/>
                              </w:rPr>
                              <w:t>For complete rules on I</w:t>
                            </w:r>
                            <w:r>
                              <w:rPr>
                                <w:bCs/>
                                <w:color w:val="FFFFFF" w:themeColor="background1"/>
                                <w:szCs w:val="20"/>
                              </w:rPr>
                              <w:t xml:space="preserve">ndividual Retirement Accounts (IRAs), </w:t>
                            </w:r>
                            <w:r w:rsidRPr="000D095D">
                              <w:rPr>
                                <w:bCs/>
                                <w:color w:val="FFFFFF" w:themeColor="background1"/>
                                <w:szCs w:val="20"/>
                              </w:rPr>
                              <w:t xml:space="preserve">please visit </w:t>
                            </w:r>
                            <w:hyperlink r:id="rId10" w:history="1">
                              <w:r w:rsidRPr="000D095D">
                                <w:rPr>
                                  <w:rStyle w:val="Hyperlink"/>
                                  <w:bCs/>
                                  <w:color w:val="FFFFFF" w:themeColor="background1"/>
                                  <w:szCs w:val="20"/>
                                </w:rPr>
                                <w:t>www.irs.gov</w:t>
                              </w:r>
                            </w:hyperlink>
                            <w:r w:rsidRPr="000D095D">
                              <w:rPr>
                                <w:bCs/>
                                <w:color w:val="FFFFFF" w:themeColor="background1"/>
                                <w:szCs w:val="20"/>
                              </w:rPr>
                              <w:t xml:space="preserve"> Publication 590a or </w:t>
                            </w:r>
                            <w:r>
                              <w:rPr>
                                <w:bCs/>
                                <w:color w:val="FFFFFF" w:themeColor="background1"/>
                                <w:szCs w:val="20"/>
                              </w:rPr>
                              <w:t>call us to discuss this and all your retirement strategies. In the meantime,</w:t>
                            </w:r>
                            <w:r w:rsidRPr="000D095D">
                              <w:rPr>
                                <w:bCs/>
                                <w:color w:val="FFFFFF" w:themeColor="background1"/>
                                <w:szCs w:val="20"/>
                              </w:rPr>
                              <w:t xml:space="preserve"> </w:t>
                            </w:r>
                            <w:bookmarkEnd w:id="0"/>
                            <w:r>
                              <w:rPr>
                                <w:bCs/>
                                <w:color w:val="FFFFFF" w:themeColor="background1"/>
                                <w:szCs w:val="20"/>
                              </w:rPr>
                              <w:t>h</w:t>
                            </w:r>
                            <w:r w:rsidRPr="000D095D">
                              <w:rPr>
                                <w:bCs/>
                                <w:color w:val="FFFFFF" w:themeColor="background1"/>
                                <w:szCs w:val="20"/>
                              </w:rPr>
                              <w:t xml:space="preserve">ere is </w:t>
                            </w:r>
                            <w:r>
                              <w:rPr>
                                <w:bCs/>
                                <w:color w:val="FFFFFF" w:themeColor="background1"/>
                                <w:szCs w:val="20"/>
                              </w:rPr>
                              <w:t xml:space="preserve">some </w:t>
                            </w:r>
                            <w:r w:rsidRPr="000D095D">
                              <w:rPr>
                                <w:bCs/>
                                <w:color w:val="FFFFFF" w:themeColor="background1"/>
                                <w:szCs w:val="20"/>
                              </w:rPr>
                              <w:t xml:space="preserve">information that </w:t>
                            </w:r>
                            <w:r>
                              <w:rPr>
                                <w:bCs/>
                                <w:color w:val="FFFFFF" w:themeColor="background1"/>
                                <w:szCs w:val="20"/>
                              </w:rPr>
                              <w:t>you may find helpful.</w:t>
                            </w:r>
                          </w:p>
                          <w:p w14:paraId="0D384634" w14:textId="6830248A" w:rsidR="005147BF" w:rsidRPr="006E798E" w:rsidRDefault="005147BF" w:rsidP="005147BF">
                            <w:pPr>
                              <w:jc w:val="center"/>
                              <w:rPr>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00ABA" id="Text Box 18" o:spid="_x0000_s1027" type="#_x0000_t202" style="position:absolute;left:0;text-align:left;margin-left:493.8pt;margin-top:49.65pt;width:545pt;height:37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oXHQIAACQEAAAOAAAAZHJzL2Uyb0RvYy54bWysU1FvEzEMfkfiP0R5p9dWbVlPu06jYwhp&#10;DKTBD3BzuV5EEock7V359Ti5W1fgDfES2bHz2f785fqmN5odpQ8KbcVnkyln0gqsld1X/NvX+zdX&#10;nIUItgaNVlb8JAO/2bx+dd25Us6xRV1LzwjEhrJzFW9jdGVRBNFKA2GCTloKNugNRHL9vqg9dIRu&#10;dDGfTldFh752HoUMgW7vhiDfZPymkSJ+bpogI9MVp95iPn0+d+ksNtdQ7j24VomxDfiHLgwoS0XP&#10;UHcQgR28+gvKKOExYBMnAk2BTaOEzDPQNLPpH9M8teBknoXICe5MU/h/sOLx+OS+eBb7d9jTAvMQ&#10;wT2g+B6YxW0Ldi9vvceulVBT4VmirOhcKMeniepQhgSy6z5hTUuGQ8QM1DfeJFZoTkbotIDTmXTZ&#10;RybocrWez5ZTCgmKLVbrNdmpBJTPr50P8YNEw5JRcU9LzehwfAhxSH1OScUCalXfK62zk4Qkt9qz&#10;I5AEQAhp4zI/1wdD7Q731MC5bNZeepKb+A1NW9ZVfL2cDwgWU5ksIaMi6VgrU/GrhDUqK5H23tY5&#10;JYLSg02zaTuymIgbKIz9rmeqHilOpO6wPhGtHgfZ0jcjo0X/k7OOJFvx8OMAXnKmP1pazXq2WCSN&#10;Z2exfDsnx19GdpcRsIKgKh45G8xtzP8isWbxllbYqMzuSydjyyTFTM34bZLWL/2c9fK5N78AAAD/&#10;/wMAUEsDBBQABgAIAAAAIQAM1uwU3wAAAAgBAAAPAAAAZHJzL2Rvd25yZXYueG1sTI/NTsNADITv&#10;SLzDykjc6AaCgIRsKn4EKuKAaLn05mbdJCLrjbLbNuTpcU9wsz2j8TfFfHSd2tMQWs8GLmcJKOLK&#10;25ZrA1+rl4s7UCEiW+w8k4EfCjAvT08KzK0/8Cftl7FWEsIhRwNNjH2udagachhmvicWbesHh1HW&#10;odZ2wIOEu05fJcmNdtiyfGiwp6eGqu/lzhlYvGv7uP6YFvZ6he3rdj294fRszPnZ+HAPKtIY/8xw&#10;xBd0KIVp43dsg+oMSJFoIMtSUEc1yRK5bGS6TVPQZaH/Fyh/AQAA//8DAFBLAQItABQABgAIAAAA&#10;IQC2gziS/gAAAOEBAAATAAAAAAAAAAAAAAAAAAAAAABbQ29udGVudF9UeXBlc10ueG1sUEsBAi0A&#10;FAAGAAgAAAAhADj9If/WAAAAlAEAAAsAAAAAAAAAAAAAAAAALwEAAF9yZWxzLy5yZWxzUEsBAi0A&#10;FAAGAAgAAAAhAMyoShcdAgAAJAQAAA4AAAAAAAAAAAAAAAAALgIAAGRycy9lMm9Eb2MueG1sUEsB&#10;Ai0AFAAGAAgAAAAhAAzW7BTfAAAACAEAAA8AAAAAAAAAAAAAAAAAdwQAAGRycy9kb3ducmV2Lnht&#10;bFBLBQYAAAAABAAEAPMAAACDBQAAAAA=&#10;" fillcolor="#1f4d78 [1608]" stroked="f">
                <v:textbox>
                  <w:txbxContent>
                    <w:p w14:paraId="26952172" w14:textId="50631D71" w:rsidR="000D095D" w:rsidRPr="000D095D" w:rsidRDefault="000D095D" w:rsidP="000D095D">
                      <w:pPr>
                        <w:spacing w:after="0" w:line="240" w:lineRule="auto"/>
                        <w:jc w:val="both"/>
                        <w:rPr>
                          <w:bCs/>
                          <w:color w:val="FFFFFF" w:themeColor="background1"/>
                          <w:szCs w:val="20"/>
                        </w:rPr>
                      </w:pPr>
                      <w:bookmarkStart w:id="1" w:name="_Hlk2159754"/>
                      <w:r w:rsidRPr="000D095D">
                        <w:rPr>
                          <w:bCs/>
                          <w:color w:val="FFFFFF" w:themeColor="background1"/>
                          <w:szCs w:val="20"/>
                        </w:rPr>
                        <w:t>For complete rules on I</w:t>
                      </w:r>
                      <w:r>
                        <w:rPr>
                          <w:bCs/>
                          <w:color w:val="FFFFFF" w:themeColor="background1"/>
                          <w:szCs w:val="20"/>
                        </w:rPr>
                        <w:t xml:space="preserve">ndividual Retirement Accounts (IRAs), </w:t>
                      </w:r>
                      <w:r w:rsidRPr="000D095D">
                        <w:rPr>
                          <w:bCs/>
                          <w:color w:val="FFFFFF" w:themeColor="background1"/>
                          <w:szCs w:val="20"/>
                        </w:rPr>
                        <w:t xml:space="preserve">please visit </w:t>
                      </w:r>
                      <w:hyperlink r:id="rId11" w:history="1">
                        <w:r w:rsidRPr="000D095D">
                          <w:rPr>
                            <w:rStyle w:val="Hyperlink"/>
                            <w:bCs/>
                            <w:color w:val="FFFFFF" w:themeColor="background1"/>
                            <w:szCs w:val="20"/>
                          </w:rPr>
                          <w:t>www.irs.gov</w:t>
                        </w:r>
                      </w:hyperlink>
                      <w:r w:rsidRPr="000D095D">
                        <w:rPr>
                          <w:bCs/>
                          <w:color w:val="FFFFFF" w:themeColor="background1"/>
                          <w:szCs w:val="20"/>
                        </w:rPr>
                        <w:t xml:space="preserve"> Publication 590a or </w:t>
                      </w:r>
                      <w:r>
                        <w:rPr>
                          <w:bCs/>
                          <w:color w:val="FFFFFF" w:themeColor="background1"/>
                          <w:szCs w:val="20"/>
                        </w:rPr>
                        <w:t>call us to discuss this and all your retirement strategies. In the meantime,</w:t>
                      </w:r>
                      <w:r w:rsidRPr="000D095D">
                        <w:rPr>
                          <w:bCs/>
                          <w:color w:val="FFFFFF" w:themeColor="background1"/>
                          <w:szCs w:val="20"/>
                        </w:rPr>
                        <w:t xml:space="preserve"> </w:t>
                      </w:r>
                      <w:bookmarkEnd w:id="1"/>
                      <w:r>
                        <w:rPr>
                          <w:bCs/>
                          <w:color w:val="FFFFFF" w:themeColor="background1"/>
                          <w:szCs w:val="20"/>
                        </w:rPr>
                        <w:t>h</w:t>
                      </w:r>
                      <w:r w:rsidRPr="000D095D">
                        <w:rPr>
                          <w:bCs/>
                          <w:color w:val="FFFFFF" w:themeColor="background1"/>
                          <w:szCs w:val="20"/>
                        </w:rPr>
                        <w:t xml:space="preserve">ere is </w:t>
                      </w:r>
                      <w:r>
                        <w:rPr>
                          <w:bCs/>
                          <w:color w:val="FFFFFF" w:themeColor="background1"/>
                          <w:szCs w:val="20"/>
                        </w:rPr>
                        <w:t xml:space="preserve">some </w:t>
                      </w:r>
                      <w:r w:rsidRPr="000D095D">
                        <w:rPr>
                          <w:bCs/>
                          <w:color w:val="FFFFFF" w:themeColor="background1"/>
                          <w:szCs w:val="20"/>
                        </w:rPr>
                        <w:t xml:space="preserve">information that </w:t>
                      </w:r>
                      <w:r>
                        <w:rPr>
                          <w:bCs/>
                          <w:color w:val="FFFFFF" w:themeColor="background1"/>
                          <w:szCs w:val="20"/>
                        </w:rPr>
                        <w:t>you may find helpful.</w:t>
                      </w:r>
                    </w:p>
                    <w:p w14:paraId="0D384634" w14:textId="6830248A" w:rsidR="005147BF" w:rsidRPr="006E798E" w:rsidRDefault="005147BF" w:rsidP="005147BF">
                      <w:pPr>
                        <w:jc w:val="center"/>
                        <w:rPr>
                          <w:bCs/>
                          <w:color w:val="FFFFFF" w:themeColor="background1"/>
                          <w:sz w:val="20"/>
                          <w:szCs w:val="20"/>
                        </w:rPr>
                      </w:pPr>
                    </w:p>
                  </w:txbxContent>
                </v:textbox>
                <w10:wrap type="square" anchorx="margin"/>
              </v:shape>
            </w:pict>
          </mc:Fallback>
        </mc:AlternateContent>
      </w:r>
      <w:r w:rsidR="00AB2F74" w:rsidRPr="00B23E6C">
        <w:rPr>
          <w:b/>
          <w:szCs w:val="20"/>
        </w:rPr>
        <w:t xml:space="preserve">You can contribute to </w:t>
      </w:r>
      <w:r w:rsidR="00FD10D1" w:rsidRPr="00B23E6C">
        <w:rPr>
          <w:b/>
          <w:szCs w:val="20"/>
        </w:rPr>
        <w:t>a</w:t>
      </w:r>
      <w:r w:rsidR="00AB2F74" w:rsidRPr="00B23E6C">
        <w:rPr>
          <w:b/>
          <w:szCs w:val="20"/>
        </w:rPr>
        <w:t xml:space="preserve"> 202</w:t>
      </w:r>
      <w:r w:rsidR="00DA282B">
        <w:rPr>
          <w:b/>
          <w:szCs w:val="20"/>
        </w:rPr>
        <w:t>5</w:t>
      </w:r>
      <w:r w:rsidR="00DD74FE" w:rsidRPr="00B23E6C">
        <w:rPr>
          <w:b/>
          <w:szCs w:val="20"/>
        </w:rPr>
        <w:t xml:space="preserve"> </w:t>
      </w:r>
      <w:r w:rsidR="00AB2F74" w:rsidRPr="00B23E6C">
        <w:rPr>
          <w:b/>
          <w:szCs w:val="20"/>
        </w:rPr>
        <w:t>IRA</w:t>
      </w:r>
      <w:r w:rsidR="00A01371" w:rsidRPr="00B23E6C">
        <w:rPr>
          <w:b/>
          <w:szCs w:val="20"/>
        </w:rPr>
        <w:t xml:space="preserve"> until </w:t>
      </w:r>
      <w:r w:rsidR="00E1729D" w:rsidRPr="00B23E6C">
        <w:rPr>
          <w:b/>
          <w:szCs w:val="20"/>
        </w:rPr>
        <w:t xml:space="preserve">the </w:t>
      </w:r>
      <w:r w:rsidR="00DD74FE" w:rsidRPr="00B23E6C">
        <w:rPr>
          <w:b/>
          <w:szCs w:val="20"/>
        </w:rPr>
        <w:t>tax filing deadline of April 1</w:t>
      </w:r>
      <w:r w:rsidR="00F44C77" w:rsidRPr="00B23E6C">
        <w:rPr>
          <w:b/>
          <w:szCs w:val="20"/>
        </w:rPr>
        <w:t>5</w:t>
      </w:r>
      <w:r w:rsidR="00DD74FE" w:rsidRPr="00B23E6C">
        <w:rPr>
          <w:b/>
          <w:szCs w:val="20"/>
        </w:rPr>
        <w:t>, 202</w:t>
      </w:r>
      <w:r w:rsidR="00DA282B">
        <w:rPr>
          <w:b/>
          <w:szCs w:val="20"/>
        </w:rPr>
        <w:t>6</w:t>
      </w:r>
      <w:r w:rsidR="00B414BD" w:rsidRPr="00B23E6C">
        <w:rPr>
          <w:b/>
          <w:szCs w:val="20"/>
        </w:rPr>
        <w:t>.</w:t>
      </w:r>
      <w:r w:rsidR="00B414BD" w:rsidRPr="00B23E6C">
        <w:rPr>
          <w:szCs w:val="20"/>
        </w:rPr>
        <w:t xml:space="preserve">  </w:t>
      </w:r>
      <w:r w:rsidR="00FD10D1" w:rsidRPr="00B23E6C">
        <w:rPr>
          <w:szCs w:val="20"/>
        </w:rPr>
        <w:t xml:space="preserve">The annual contribution limit </w:t>
      </w:r>
      <w:r w:rsidR="00FD10D1" w:rsidRPr="00630DE7">
        <w:rPr>
          <w:szCs w:val="20"/>
        </w:rPr>
        <w:t>for 202</w:t>
      </w:r>
      <w:r w:rsidR="00DA282B" w:rsidRPr="00630DE7">
        <w:rPr>
          <w:szCs w:val="20"/>
        </w:rPr>
        <w:t>5</w:t>
      </w:r>
      <w:r w:rsidR="00E0189C" w:rsidRPr="00630DE7">
        <w:rPr>
          <w:szCs w:val="20"/>
        </w:rPr>
        <w:t xml:space="preserve"> </w:t>
      </w:r>
      <w:r w:rsidR="00DA282B" w:rsidRPr="00630DE7">
        <w:rPr>
          <w:szCs w:val="20"/>
        </w:rPr>
        <w:t>is</w:t>
      </w:r>
      <w:r w:rsidR="00FD10D1" w:rsidRPr="00630DE7">
        <w:rPr>
          <w:szCs w:val="20"/>
        </w:rPr>
        <w:t xml:space="preserve"> $</w:t>
      </w:r>
      <w:r w:rsidR="00E0189C" w:rsidRPr="00630DE7">
        <w:rPr>
          <w:szCs w:val="20"/>
        </w:rPr>
        <w:t>7,0</w:t>
      </w:r>
      <w:r w:rsidR="00FD10D1" w:rsidRPr="00630DE7">
        <w:rPr>
          <w:szCs w:val="20"/>
        </w:rPr>
        <w:t>00, or $</w:t>
      </w:r>
      <w:r w:rsidR="00E0189C" w:rsidRPr="00630DE7">
        <w:rPr>
          <w:szCs w:val="20"/>
        </w:rPr>
        <w:t>8</w:t>
      </w:r>
      <w:r w:rsidR="00FD10D1" w:rsidRPr="00630DE7">
        <w:rPr>
          <w:szCs w:val="20"/>
        </w:rPr>
        <w:t>,</w:t>
      </w:r>
      <w:r w:rsidR="00E0189C" w:rsidRPr="00630DE7">
        <w:rPr>
          <w:szCs w:val="20"/>
        </w:rPr>
        <w:t>0</w:t>
      </w:r>
      <w:r w:rsidR="00FD10D1" w:rsidRPr="00630DE7">
        <w:rPr>
          <w:szCs w:val="20"/>
        </w:rPr>
        <w:t>00 if you are age 50 or older</w:t>
      </w:r>
      <w:r w:rsidR="00FD10D1" w:rsidRPr="00B23E6C">
        <w:rPr>
          <w:szCs w:val="20"/>
        </w:rPr>
        <w:t>. Your ability to use a Roth IRA contribution can be limited based on your filing status and income</w:t>
      </w:r>
      <w:r w:rsidR="00DD74FE" w:rsidRPr="00B23E6C">
        <w:rPr>
          <w:szCs w:val="20"/>
        </w:rPr>
        <w:t xml:space="preserve"> </w:t>
      </w:r>
      <w:r w:rsidR="005B3893" w:rsidRPr="00B23E6C">
        <w:rPr>
          <w:szCs w:val="20"/>
        </w:rPr>
        <w:t>(see box in this report</w:t>
      </w:r>
      <w:r w:rsidR="00654A42">
        <w:rPr>
          <w:szCs w:val="20"/>
        </w:rPr>
        <w:t xml:space="preserve">). </w:t>
      </w:r>
      <w:r w:rsidR="00B414BD" w:rsidRPr="00B23E6C">
        <w:rPr>
          <w:b/>
          <w:bCs/>
          <w:szCs w:val="20"/>
        </w:rPr>
        <w:t>Now is a good time to consider making your 20</w:t>
      </w:r>
      <w:r w:rsidR="00E119FB" w:rsidRPr="00B23E6C">
        <w:rPr>
          <w:b/>
          <w:bCs/>
          <w:szCs w:val="20"/>
        </w:rPr>
        <w:t>2</w:t>
      </w:r>
      <w:r w:rsidR="00DA282B">
        <w:rPr>
          <w:b/>
          <w:bCs/>
          <w:szCs w:val="20"/>
        </w:rPr>
        <w:t>5</w:t>
      </w:r>
      <w:r w:rsidR="00B414BD" w:rsidRPr="00B23E6C">
        <w:rPr>
          <w:b/>
          <w:bCs/>
          <w:szCs w:val="20"/>
        </w:rPr>
        <w:t xml:space="preserve"> retirement contributions. </w:t>
      </w:r>
    </w:p>
    <w:p w14:paraId="67B25D6F" w14:textId="4B0E54A4" w:rsidR="00B414BD" w:rsidRPr="00E702D3" w:rsidRDefault="00853FA8" w:rsidP="00B414BD">
      <w:pPr>
        <w:spacing w:after="0" w:line="276" w:lineRule="auto"/>
        <w:jc w:val="both"/>
        <w:rPr>
          <w:sz w:val="10"/>
          <w:szCs w:val="8"/>
        </w:rPr>
      </w:pPr>
      <w:r w:rsidRPr="00630DE7">
        <w:rPr>
          <w:noProof/>
          <w:color w:val="000000" w:themeColor="text1"/>
          <w:szCs w:val="20"/>
        </w:rPr>
        <w:drawing>
          <wp:anchor distT="0" distB="91440" distL="114300" distR="114300" simplePos="0" relativeHeight="251715584" behindDoc="0" locked="0" layoutInCell="1" allowOverlap="1" wp14:anchorId="45235068" wp14:editId="7A3449C7">
            <wp:simplePos x="0" y="0"/>
            <wp:positionH relativeFrom="margin">
              <wp:align>right</wp:align>
            </wp:positionH>
            <wp:positionV relativeFrom="paragraph">
              <wp:posOffset>563880</wp:posOffset>
            </wp:positionV>
            <wp:extent cx="3092491" cy="1533525"/>
            <wp:effectExtent l="19050" t="19050" r="12700" b="9525"/>
            <wp:wrapNone/>
            <wp:docPr id="1398806802" name="Picture 1" descr="A blue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06802" name="Picture 1" descr="A blue and white card with text&#10;&#10;AI-generated content may be incorrect."/>
                    <pic:cNvPicPr/>
                  </pic:nvPicPr>
                  <pic:blipFill rotWithShape="1">
                    <a:blip r:embed="rId12" cstate="print">
                      <a:extLst>
                        <a:ext uri="{28A0092B-C50C-407E-A947-70E740481C1C}">
                          <a14:useLocalDpi xmlns:a14="http://schemas.microsoft.com/office/drawing/2010/main" val="0"/>
                        </a:ext>
                      </a:extLst>
                    </a:blip>
                    <a:srcRect l="594" t="614"/>
                    <a:stretch/>
                  </pic:blipFill>
                  <pic:spPr bwMode="auto">
                    <a:xfrm>
                      <a:off x="0" y="0"/>
                      <a:ext cx="3092491" cy="1533525"/>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CAD30" w14:textId="19B59F70" w:rsidR="00E119FB" w:rsidRPr="00E702D3" w:rsidRDefault="00E119FB" w:rsidP="00B414BD">
      <w:pPr>
        <w:spacing w:after="0" w:line="276" w:lineRule="auto"/>
        <w:jc w:val="both"/>
        <w:rPr>
          <w:sz w:val="2"/>
          <w:szCs w:val="2"/>
        </w:rPr>
        <w:sectPr w:rsidR="00E119FB" w:rsidRPr="00E702D3" w:rsidSect="00FD58A8">
          <w:pgSz w:w="12240" w:h="15840"/>
          <w:pgMar w:top="720" w:right="720" w:bottom="720" w:left="720" w:header="720" w:footer="720" w:gutter="0"/>
          <w:cols w:space="720"/>
          <w:docGrid w:linePitch="360"/>
        </w:sectPr>
      </w:pPr>
    </w:p>
    <w:p w14:paraId="13F1ED94" w14:textId="45A9AF49"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Traditional IRAs</w:t>
      </w:r>
    </w:p>
    <w:p w14:paraId="4333FBAA" w14:textId="57EECF33" w:rsidR="005147BF" w:rsidRPr="008B3BA5" w:rsidRDefault="00654A42" w:rsidP="005147BF">
      <w:pPr>
        <w:spacing w:after="0" w:line="240" w:lineRule="auto"/>
        <w:ind w:left="45"/>
        <w:jc w:val="both"/>
        <w:rPr>
          <w:color w:val="000000" w:themeColor="text1"/>
          <w:szCs w:val="20"/>
        </w:rPr>
      </w:pPr>
      <w:r>
        <w:rPr>
          <w:color w:val="000000" w:themeColor="text1"/>
          <w:sz w:val="8"/>
          <w:szCs w:val="8"/>
        </w:rPr>
        <w:br/>
      </w:r>
      <w:r w:rsidR="005147BF" w:rsidRPr="008B3BA5">
        <w:rPr>
          <w:color w:val="000000" w:themeColor="text1"/>
          <w:szCs w:val="20"/>
        </w:rPr>
        <w:t xml:space="preserve">A traditional </w:t>
      </w:r>
      <w:r w:rsidR="005147BF" w:rsidRPr="008B3BA5">
        <w:rPr>
          <w:b/>
          <w:color w:val="000000" w:themeColor="text1"/>
          <w:szCs w:val="20"/>
        </w:rPr>
        <w:t xml:space="preserve">IRA </w:t>
      </w:r>
      <w:r w:rsidR="005147BF" w:rsidRPr="008B3BA5">
        <w:rPr>
          <w:color w:val="000000" w:themeColor="text1"/>
          <w:szCs w:val="20"/>
        </w:rPr>
        <w:t>(</w:t>
      </w:r>
      <w:r w:rsidR="005147BF" w:rsidRPr="008B3BA5">
        <w:rPr>
          <w:b/>
          <w:color w:val="000000" w:themeColor="text1"/>
          <w:szCs w:val="20"/>
        </w:rPr>
        <w:t>I</w:t>
      </w:r>
      <w:r w:rsidR="005147BF" w:rsidRPr="008B3BA5">
        <w:rPr>
          <w:color w:val="000000" w:themeColor="text1"/>
          <w:szCs w:val="20"/>
        </w:rPr>
        <w:t xml:space="preserve">ndividual </w:t>
      </w:r>
      <w:r w:rsidR="005147BF" w:rsidRPr="008B3BA5">
        <w:rPr>
          <w:b/>
          <w:color w:val="000000" w:themeColor="text1"/>
          <w:szCs w:val="20"/>
        </w:rPr>
        <w:t>R</w:t>
      </w:r>
      <w:r w:rsidR="005147BF" w:rsidRPr="008B3BA5">
        <w:rPr>
          <w:color w:val="000000" w:themeColor="text1"/>
          <w:szCs w:val="20"/>
        </w:rPr>
        <w:t xml:space="preserve">etirement </w:t>
      </w:r>
      <w:r w:rsidR="00A051C6">
        <w:rPr>
          <w:b/>
          <w:color w:val="000000" w:themeColor="text1"/>
          <w:szCs w:val="20"/>
        </w:rPr>
        <w:t>A</w:t>
      </w:r>
      <w:r w:rsidR="005C55C0">
        <w:rPr>
          <w:bCs/>
          <w:color w:val="000000" w:themeColor="text1"/>
          <w:szCs w:val="20"/>
        </w:rPr>
        <w:t>ccount</w:t>
      </w:r>
      <w:r w:rsidR="005147BF" w:rsidRPr="008B3BA5">
        <w:rPr>
          <w:color w:val="000000" w:themeColor="text1"/>
          <w:szCs w:val="20"/>
        </w:rPr>
        <w:t xml:space="preserve">) is a way in which individuals can save for retirement and receive tax advantages. Traditional IRAs come in two varieties: </w:t>
      </w:r>
      <w:hyperlink r:id="rId13" w:history="1">
        <w:r w:rsidR="005147BF" w:rsidRPr="008B3BA5">
          <w:rPr>
            <w:rStyle w:val="Hyperlink"/>
            <w:color w:val="000000" w:themeColor="text1"/>
            <w:szCs w:val="20"/>
            <w:u w:val="none"/>
          </w:rPr>
          <w:t>deductible and nondeductible</w:t>
        </w:r>
      </w:hyperlink>
      <w:r w:rsidR="005147BF" w:rsidRPr="008B3BA5">
        <w:rPr>
          <w:color w:val="000000" w:themeColor="text1"/>
          <w:szCs w:val="20"/>
        </w:rPr>
        <w:t xml:space="preserve">. </w:t>
      </w:r>
      <w:r w:rsidR="00A051C6">
        <w:rPr>
          <w:color w:val="000000" w:themeColor="text1"/>
          <w:szCs w:val="20"/>
        </w:rPr>
        <w:t>Co</w:t>
      </w:r>
      <w:r w:rsidR="005147BF" w:rsidRPr="008B3BA5">
        <w:rPr>
          <w:color w:val="000000" w:themeColor="text1"/>
          <w:szCs w:val="20"/>
        </w:rPr>
        <w:t>ntributions to a traditional IRA may be fully or partially deductible, depending on your circumstances (</w:t>
      </w:r>
      <w:r w:rsidR="0090591F" w:rsidRPr="008B3BA5">
        <w:rPr>
          <w:color w:val="000000" w:themeColor="text1"/>
          <w:szCs w:val="20"/>
        </w:rPr>
        <w:t>i.e.,</w:t>
      </w:r>
      <w:r w:rsidR="005147BF" w:rsidRPr="008B3BA5">
        <w:rPr>
          <w:color w:val="000000" w:themeColor="text1"/>
          <w:szCs w:val="20"/>
        </w:rPr>
        <w:t xml:space="preserve"> taxpayer's income, tax-filing status and other factors) and generally, amounts in </w:t>
      </w:r>
      <w:r w:rsidR="00A051C6">
        <w:rPr>
          <w:color w:val="000000" w:themeColor="text1"/>
          <w:szCs w:val="20"/>
        </w:rPr>
        <w:t>a</w:t>
      </w:r>
      <w:r w:rsidR="005147BF" w:rsidRPr="008B3BA5">
        <w:rPr>
          <w:color w:val="000000" w:themeColor="text1"/>
          <w:szCs w:val="20"/>
        </w:rPr>
        <w:t xml:space="preserve"> traditional IRA (including earnings and gains) are not taxed until </w:t>
      </w:r>
      <w:r w:rsidR="00A051C6">
        <w:rPr>
          <w:color w:val="000000" w:themeColor="text1"/>
          <w:szCs w:val="20"/>
        </w:rPr>
        <w:t>distribution</w:t>
      </w:r>
      <w:r w:rsidR="005147BF" w:rsidRPr="008B3BA5">
        <w:rPr>
          <w:color w:val="000000" w:themeColor="text1"/>
          <w:szCs w:val="20"/>
        </w:rPr>
        <w:t xml:space="preserve">. </w:t>
      </w:r>
    </w:p>
    <w:p w14:paraId="3C4A8BBD" w14:textId="1E8DC3F1" w:rsidR="005147BF" w:rsidRPr="008B3BA5" w:rsidRDefault="005147BF" w:rsidP="005147BF">
      <w:pPr>
        <w:spacing w:after="0" w:line="240" w:lineRule="auto"/>
        <w:ind w:left="45"/>
        <w:jc w:val="both"/>
        <w:rPr>
          <w:color w:val="000000" w:themeColor="text1"/>
          <w:szCs w:val="20"/>
        </w:rPr>
      </w:pPr>
    </w:p>
    <w:p w14:paraId="5CC44FB2" w14:textId="60722F5A" w:rsidR="00E702D3" w:rsidRDefault="005147BF" w:rsidP="00B16D3A">
      <w:pPr>
        <w:spacing w:after="0" w:line="240" w:lineRule="auto"/>
        <w:ind w:left="45"/>
        <w:jc w:val="both"/>
        <w:rPr>
          <w:color w:val="000000" w:themeColor="text1"/>
          <w:szCs w:val="20"/>
        </w:rPr>
      </w:pPr>
      <w:r w:rsidRPr="008B3BA5">
        <w:rPr>
          <w:color w:val="000000" w:themeColor="text1"/>
          <w:szCs w:val="20"/>
        </w:rPr>
        <w:t xml:space="preserve">A clear advantage of traditional IRA accounts is </w:t>
      </w:r>
      <w:r w:rsidR="00A051C6">
        <w:rPr>
          <w:color w:val="000000" w:themeColor="text1"/>
          <w:szCs w:val="20"/>
        </w:rPr>
        <w:t xml:space="preserve">the </w:t>
      </w:r>
      <w:r w:rsidRPr="008B3BA5">
        <w:rPr>
          <w:color w:val="000000" w:themeColor="text1"/>
          <w:szCs w:val="20"/>
        </w:rPr>
        <w:t xml:space="preserve">benefit </w:t>
      </w:r>
      <w:r w:rsidR="00A051C6">
        <w:rPr>
          <w:color w:val="000000" w:themeColor="text1"/>
          <w:szCs w:val="20"/>
        </w:rPr>
        <w:t>of</w:t>
      </w:r>
      <w:r w:rsidRPr="008B3BA5">
        <w:rPr>
          <w:color w:val="000000" w:themeColor="text1"/>
          <w:szCs w:val="20"/>
        </w:rPr>
        <w:t xml:space="preserve"> deferring taxes on all dividends, interest and capital gains earned inside the IRA account and </w:t>
      </w:r>
      <w:r w:rsidR="00A051C6">
        <w:rPr>
          <w:color w:val="000000" w:themeColor="text1"/>
          <w:szCs w:val="20"/>
        </w:rPr>
        <w:t>the potential for annual tax-free compounding</w:t>
      </w:r>
      <w:r w:rsidRPr="008B3BA5">
        <w:rPr>
          <w:color w:val="000000" w:themeColor="text1"/>
          <w:szCs w:val="20"/>
        </w:rPr>
        <w:t xml:space="preserve">. </w:t>
      </w:r>
      <w:bookmarkStart w:id="2" w:name="_Hlk2845186"/>
      <w:r w:rsidRPr="008B3BA5">
        <w:rPr>
          <w:color w:val="000000" w:themeColor="text1"/>
          <w:szCs w:val="20"/>
        </w:rPr>
        <w:t>This may allow an IRA to have</w:t>
      </w:r>
      <w:r w:rsidR="00A051C6">
        <w:rPr>
          <w:color w:val="000000" w:themeColor="text1"/>
          <w:szCs w:val="20"/>
        </w:rPr>
        <w:t xml:space="preserve"> a</w:t>
      </w:r>
      <w:r w:rsidRPr="008B3BA5">
        <w:rPr>
          <w:color w:val="000000" w:themeColor="text1"/>
          <w:szCs w:val="20"/>
        </w:rPr>
        <w:t xml:space="preserve"> faster growth </w:t>
      </w:r>
      <w:r w:rsidR="00A051C6">
        <w:rPr>
          <w:color w:val="000000" w:themeColor="text1"/>
          <w:szCs w:val="20"/>
        </w:rPr>
        <w:t>rate</w:t>
      </w:r>
      <w:r w:rsidRPr="008B3BA5">
        <w:rPr>
          <w:color w:val="000000" w:themeColor="text1"/>
          <w:szCs w:val="20"/>
        </w:rPr>
        <w:t xml:space="preserve"> than a taxable account.</w:t>
      </w:r>
      <w:bookmarkEnd w:id="2"/>
    </w:p>
    <w:p w14:paraId="410B8364" w14:textId="77777777" w:rsidR="00654A42" w:rsidRPr="008B3BA5" w:rsidRDefault="00654A42" w:rsidP="00B16D3A">
      <w:pPr>
        <w:spacing w:after="0" w:line="240" w:lineRule="auto"/>
        <w:ind w:left="45"/>
        <w:jc w:val="both"/>
        <w:rPr>
          <w:color w:val="000000" w:themeColor="text1"/>
          <w:szCs w:val="20"/>
        </w:rPr>
      </w:pPr>
    </w:p>
    <w:p w14:paraId="5D528393" w14:textId="44CC2B7A" w:rsidR="005147BF" w:rsidRPr="005147BF" w:rsidRDefault="005147BF" w:rsidP="005147BF">
      <w:pPr>
        <w:spacing w:after="0" w:line="240" w:lineRule="auto"/>
        <w:ind w:left="45"/>
        <w:jc w:val="both"/>
        <w:rPr>
          <w:sz w:val="2"/>
          <w:szCs w:val="2"/>
        </w:rPr>
      </w:pPr>
      <w:r>
        <w:rPr>
          <w:szCs w:val="20"/>
        </w:rPr>
        <w:t xml:space="preserve"> </w:t>
      </w:r>
    </w:p>
    <w:p w14:paraId="418E81FB" w14:textId="0A9C7E25"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Roth IRA</w:t>
      </w:r>
    </w:p>
    <w:p w14:paraId="6606FD55" w14:textId="22315C4F" w:rsidR="00654A42" w:rsidRDefault="00EF4C49" w:rsidP="00E0189C">
      <w:pPr>
        <w:spacing w:after="0" w:line="240" w:lineRule="auto"/>
        <w:ind w:left="45"/>
        <w:jc w:val="both"/>
        <w:rPr>
          <w:color w:val="000000" w:themeColor="text1"/>
          <w:szCs w:val="20"/>
        </w:rPr>
      </w:pPr>
      <w:r w:rsidRPr="00B23E6C">
        <w:rPr>
          <w:noProof/>
          <w:sz w:val="20"/>
          <w:szCs w:val="20"/>
        </w:rPr>
        <mc:AlternateContent>
          <mc:Choice Requires="wps">
            <w:drawing>
              <wp:anchor distT="45720" distB="45720" distL="114300" distR="114300" simplePos="0" relativeHeight="251718656" behindDoc="0" locked="0" layoutInCell="1" allowOverlap="1" wp14:anchorId="5475D2C1" wp14:editId="48869237">
                <wp:simplePos x="0" y="0"/>
                <wp:positionH relativeFrom="column">
                  <wp:posOffset>3570605</wp:posOffset>
                </wp:positionH>
                <wp:positionV relativeFrom="paragraph">
                  <wp:posOffset>420370</wp:posOffset>
                </wp:positionV>
                <wp:extent cx="3344545" cy="572770"/>
                <wp:effectExtent l="19050" t="19050" r="27305" b="17780"/>
                <wp:wrapSquare wrapText="bothSides"/>
                <wp:docPr id="104017213" name="Text Box 104017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572770"/>
                        </a:xfrm>
                        <a:prstGeom prst="rect">
                          <a:avLst/>
                        </a:prstGeom>
                        <a:solidFill>
                          <a:schemeClr val="accent1">
                            <a:lumMod val="75000"/>
                          </a:schemeClr>
                        </a:solidFill>
                        <a:ln w="38100">
                          <a:solidFill>
                            <a:srgbClr val="FFC000"/>
                          </a:solidFill>
                          <a:miter lim="800000"/>
                          <a:headEnd/>
                          <a:tailEnd/>
                        </a:ln>
                      </wps:spPr>
                      <wps:txbx>
                        <w:txbxContent>
                          <w:p w14:paraId="7EEF5555" w14:textId="7AA4050E" w:rsidR="00944398" w:rsidRPr="00EF4C49" w:rsidRDefault="00944398" w:rsidP="00944398">
                            <w:pPr>
                              <w:jc w:val="center"/>
                              <w:rPr>
                                <w:b/>
                                <w:color w:val="BF8F00" w:themeColor="accent4" w:themeShade="BF"/>
                                <w:sz w:val="20"/>
                                <w:szCs w:val="20"/>
                                <w14:shadow w14:blurRad="50800" w14:dist="38100" w14:dir="2700000" w14:sx="100000" w14:sy="100000" w14:kx="0" w14:ky="0" w14:algn="tl">
                                  <w14:srgbClr w14:val="000000">
                                    <w14:alpha w14:val="60000"/>
                                  </w14:srgbClr>
                                </w14:shadow>
                              </w:rPr>
                            </w:pPr>
                            <w:r w:rsidRPr="00EF4C49">
                              <w:rPr>
                                <w:b/>
                                <w:color w:val="FFFFFF" w:themeColor="background1"/>
                                <w:sz w:val="28"/>
                                <w:szCs w:val="24"/>
                                <w14:shadow w14:blurRad="50800" w14:dist="38100" w14:dir="2700000" w14:sx="100000" w14:sy="100000" w14:kx="0" w14:ky="0" w14:algn="tl">
                                  <w14:srgbClr w14:val="000000">
                                    <w14:alpha w14:val="60000"/>
                                  </w14:srgbClr>
                                </w14:shadow>
                              </w:rPr>
                              <w:t xml:space="preserve">Not a client? Great news! </w:t>
                            </w:r>
                            <w:r w:rsidR="00EF4C49" w:rsidRPr="00EF4C49">
                              <w:rPr>
                                <w:b/>
                                <w:color w:val="FFFFFF" w:themeColor="background1"/>
                                <w:szCs w:val="20"/>
                                <w14:shadow w14:blurRad="50800" w14:dist="38100" w14:dir="2700000" w14:sx="100000" w14:sy="100000" w14:kx="0" w14:ky="0" w14:algn="tl">
                                  <w14:srgbClr w14:val="000000">
                                    <w14:alpha w14:val="60000"/>
                                  </w14:srgbClr>
                                </w14:shadow>
                              </w:rPr>
                              <w:br/>
                            </w:r>
                            <w:r w:rsidRPr="00EF4C49">
                              <w:rPr>
                                <w:b/>
                                <w:color w:val="FFFFFF" w:themeColor="background1"/>
                                <w:szCs w:val="20"/>
                                <w14:shadow w14:blurRad="50800" w14:dist="38100" w14:dir="2700000" w14:sx="100000" w14:sy="100000" w14:kx="0" w14:ky="0" w14:algn="tl">
                                  <w14:srgbClr w14:val="000000">
                                    <w14:alpha w14:val="60000"/>
                                  </w14:srgbClr>
                                </w14:shadow>
                              </w:rPr>
                              <w:t>We are accepting new clients in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5D2C1" id="Text Box 104017213" o:spid="_x0000_s1028" type="#_x0000_t202" style="position:absolute;left:0;text-align:left;margin-left:281.15pt;margin-top:33.1pt;width:263.35pt;height:45.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CKLQIAAE4EAAAOAAAAZHJzL2Uyb0RvYy54bWysVNuO2yAQfa/Uf0C8N3ayTpNacVbbbFNV&#10;2l6kbT8AYxyjAkOBxE6/fgecZNPuW9UXxDBwZuacGVa3g1bkIJyXYCo6neSUCMOhkWZX0R/ft2+W&#10;lPjATMMUGFHRo/D0dv361aq3pZhBB6oRjiCI8WVvK9qFYMss87wTmvkJWGHQ2YLTLKDpdlnjWI/o&#10;WmWzPH+b9eAa64AL7/H0fnTSdcJvW8HD17b1IhBVUcwtpNWltY5rtl6xcueY7SQ/pcH+IQvNpMGg&#10;F6h7FhjZO/kCSkvuwEMbJhx0Bm0ruUg1YDXT/K9qHjtmRaoFyfH2QpP/f7D8y+HRfnMkDO9hQAFT&#10;Ed4+AP/piYFNx8xO3DkHfSdYg4GnkbKst748PY1U+9JHkLr/DA2KzPYBEtDQOh1ZwToJoqMAxwvp&#10;YgiE4+HNTVHMizklHH3zxWyxSKpkrDy/ts6HjwI0iZuKOhQ1obPDgw8xG1aer8RgHpRstlKpZMRG&#10;EhvlyIFhCzDOhQljlWqvMd3xfDHP83PY1HvxSUL+A00Z0mPGyylefhnK7epLoO12c4V4nZGWATte&#10;SV3RJV4Zw7Iy0vvBNKkfA5Nq3GNpypz4jhSPZIehHohsKjqLYkT6a2iOKICDscFxIHHTgftNSY/N&#10;XVH/a8+coER9Mijiu2lRxGlIRoGko+GuPfW1hxmOUBUNlIzbTUgTFBkwcIditzLp8JzJKWVs2kTi&#10;acDiVFzb6dbzN7B+AgAA//8DAFBLAwQUAAYACAAAACEAd3RHMt8AAAALAQAADwAAAGRycy9kb3du&#10;cmV2LnhtbEyPwU7DMAyG70i8Q2QkbiylW6NRmk6AQIIjG7unjdd2a5Iqybbw9ngndrPlT7+/v1ol&#10;M7IT+jA4K+FxlgFD2zo92E7Cz+bjYQksRGW1Gp1FCb8YYFXf3lSq1O5sv/G0jh2jEBtKJaGPcSo5&#10;D22PRoWZm9DSbee8UZFW33Ht1ZnCzcjzLBPcqMHSh15N+NZje1gfjYTMp+b1fbP9nH91Rm+nYb8o&#10;0l7K+7v08gwsYor/MFz0SR1qcmrc0erARgmFyOeEShAiB3YBsuUTtWtoKsQCeF3x6w71HwAAAP//&#10;AwBQSwECLQAUAAYACAAAACEAtoM4kv4AAADhAQAAEwAAAAAAAAAAAAAAAAAAAAAAW0NvbnRlbnRf&#10;VHlwZXNdLnhtbFBLAQItABQABgAIAAAAIQA4/SH/1gAAAJQBAAALAAAAAAAAAAAAAAAAAC8BAABf&#10;cmVscy8ucmVsc1BLAQItABQABgAIAAAAIQA6p7CKLQIAAE4EAAAOAAAAAAAAAAAAAAAAAC4CAABk&#10;cnMvZTJvRG9jLnhtbFBLAQItABQABgAIAAAAIQB3dEcy3wAAAAsBAAAPAAAAAAAAAAAAAAAAAIcE&#10;AABkcnMvZG93bnJldi54bWxQSwUGAAAAAAQABADzAAAAkwUAAAAA&#10;" fillcolor="#2f5496 [2404]" strokecolor="#ffc000" strokeweight="3pt">
                <v:textbox>
                  <w:txbxContent>
                    <w:p w14:paraId="7EEF5555" w14:textId="7AA4050E" w:rsidR="00944398" w:rsidRPr="00EF4C49" w:rsidRDefault="00944398" w:rsidP="00944398">
                      <w:pPr>
                        <w:jc w:val="center"/>
                        <w:rPr>
                          <w:b/>
                          <w:color w:val="BF8F00" w:themeColor="accent4" w:themeShade="BF"/>
                          <w:sz w:val="20"/>
                          <w:szCs w:val="20"/>
                          <w14:shadow w14:blurRad="50800" w14:dist="38100" w14:dir="2700000" w14:sx="100000" w14:sy="100000" w14:kx="0" w14:ky="0" w14:algn="tl">
                            <w14:srgbClr w14:val="000000">
                              <w14:alpha w14:val="60000"/>
                            </w14:srgbClr>
                          </w14:shadow>
                        </w:rPr>
                      </w:pPr>
                      <w:r w:rsidRPr="00EF4C49">
                        <w:rPr>
                          <w:b/>
                          <w:color w:val="FFFFFF" w:themeColor="background1"/>
                          <w:sz w:val="28"/>
                          <w:szCs w:val="24"/>
                          <w14:shadow w14:blurRad="50800" w14:dist="38100" w14:dir="2700000" w14:sx="100000" w14:sy="100000" w14:kx="0" w14:ky="0" w14:algn="tl">
                            <w14:srgbClr w14:val="000000">
                              <w14:alpha w14:val="60000"/>
                            </w14:srgbClr>
                          </w14:shadow>
                        </w:rPr>
                        <w:t xml:space="preserve">Not a client? Great news! </w:t>
                      </w:r>
                      <w:r w:rsidR="00EF4C49" w:rsidRPr="00EF4C49">
                        <w:rPr>
                          <w:b/>
                          <w:color w:val="FFFFFF" w:themeColor="background1"/>
                          <w:szCs w:val="20"/>
                          <w14:shadow w14:blurRad="50800" w14:dist="38100" w14:dir="2700000" w14:sx="100000" w14:sy="100000" w14:kx="0" w14:ky="0" w14:algn="tl">
                            <w14:srgbClr w14:val="000000">
                              <w14:alpha w14:val="60000"/>
                            </w14:srgbClr>
                          </w14:shadow>
                        </w:rPr>
                        <w:br/>
                      </w:r>
                      <w:r w:rsidRPr="00EF4C49">
                        <w:rPr>
                          <w:b/>
                          <w:color w:val="FFFFFF" w:themeColor="background1"/>
                          <w:szCs w:val="20"/>
                          <w14:shadow w14:blurRad="50800" w14:dist="38100" w14:dir="2700000" w14:sx="100000" w14:sy="100000" w14:kx="0" w14:ky="0" w14:algn="tl">
                            <w14:srgbClr w14:val="000000">
                              <w14:alpha w14:val="60000"/>
                            </w14:srgbClr>
                          </w14:shadow>
                        </w:rPr>
                        <w:t>We are accepting new clients in 2025!</w:t>
                      </w:r>
                    </w:p>
                  </w:txbxContent>
                </v:textbox>
                <w10:wrap type="square"/>
              </v:shape>
            </w:pict>
          </mc:Fallback>
        </mc:AlternateContent>
      </w:r>
      <w:r w:rsidR="00654A42">
        <w:rPr>
          <w:color w:val="000000" w:themeColor="text1"/>
          <w:sz w:val="8"/>
          <w:szCs w:val="8"/>
        </w:rPr>
        <w:br/>
      </w:r>
      <w:r w:rsidR="005147BF" w:rsidRPr="008B3BA5">
        <w:rPr>
          <w:color w:val="000000" w:themeColor="text1"/>
          <w:szCs w:val="20"/>
        </w:rPr>
        <w:t xml:space="preserve">A Roth IRA is an IRA that is subject to many of the same rules that apply to a traditional IRA with some major exceptions. Unlike traditional IRAs which can be tax deducted, you cannot deduct contributions to a Roth IRA. </w:t>
      </w:r>
      <w:r w:rsidR="00630DE7">
        <w:rPr>
          <w:color w:val="000000" w:themeColor="text1"/>
          <w:szCs w:val="20"/>
        </w:rPr>
        <w:br/>
      </w:r>
      <w:r w:rsidR="00853FA8">
        <w:rPr>
          <w:color w:val="000000" w:themeColor="text1"/>
          <w:szCs w:val="20"/>
        </w:rPr>
        <w:br/>
      </w:r>
      <w:r w:rsidR="00853FA8">
        <w:rPr>
          <w:color w:val="000000" w:themeColor="text1"/>
          <w:szCs w:val="20"/>
        </w:rPr>
        <w:br/>
      </w:r>
      <w:r w:rsidR="00853FA8">
        <w:rPr>
          <w:color w:val="000000" w:themeColor="text1"/>
          <w:szCs w:val="20"/>
        </w:rPr>
        <w:br/>
      </w:r>
      <w:r w:rsidR="00853FA8">
        <w:rPr>
          <w:color w:val="000000" w:themeColor="text1"/>
          <w:szCs w:val="20"/>
        </w:rPr>
        <w:br/>
      </w:r>
      <w:r w:rsidR="00853FA8">
        <w:rPr>
          <w:color w:val="000000" w:themeColor="text1"/>
          <w:szCs w:val="20"/>
        </w:rPr>
        <w:br/>
      </w:r>
      <w:r w:rsidR="00853FA8">
        <w:rPr>
          <w:color w:val="000000" w:themeColor="text1"/>
          <w:szCs w:val="20"/>
        </w:rPr>
        <w:br/>
      </w:r>
      <w:r w:rsidR="00853FA8">
        <w:rPr>
          <w:color w:val="000000" w:themeColor="text1"/>
          <w:szCs w:val="20"/>
        </w:rPr>
        <w:br/>
      </w:r>
      <w:r w:rsidR="00853FA8">
        <w:rPr>
          <w:color w:val="000000" w:themeColor="text1"/>
          <w:szCs w:val="20"/>
        </w:rPr>
        <w:br/>
      </w:r>
      <w:r w:rsidR="00853FA8">
        <w:rPr>
          <w:color w:val="000000" w:themeColor="text1"/>
          <w:szCs w:val="20"/>
        </w:rPr>
        <w:br/>
      </w:r>
      <w:r w:rsidR="00853FA8">
        <w:rPr>
          <w:color w:val="000000" w:themeColor="text1"/>
          <w:sz w:val="10"/>
          <w:szCs w:val="8"/>
        </w:rPr>
        <w:br/>
      </w:r>
      <w:r w:rsidR="00853FA8">
        <w:rPr>
          <w:color w:val="000000" w:themeColor="text1"/>
          <w:sz w:val="10"/>
          <w:szCs w:val="8"/>
        </w:rPr>
        <w:br/>
      </w:r>
      <w:r w:rsidR="005147BF" w:rsidRPr="008B3BA5">
        <w:rPr>
          <w:color w:val="000000" w:themeColor="text1"/>
          <w:szCs w:val="20"/>
        </w:rPr>
        <w:t>Some Roth IRA advantages include:</w:t>
      </w:r>
    </w:p>
    <w:p w14:paraId="5433E2DC" w14:textId="092731B2" w:rsidR="00630DE7" w:rsidRPr="00EF4C49" w:rsidRDefault="00630DE7" w:rsidP="00E0189C">
      <w:pPr>
        <w:spacing w:after="0" w:line="240" w:lineRule="auto"/>
        <w:ind w:left="45"/>
        <w:jc w:val="both"/>
        <w:rPr>
          <w:color w:val="000000" w:themeColor="text1"/>
          <w:sz w:val="8"/>
          <w:szCs w:val="6"/>
        </w:rPr>
      </w:pPr>
    </w:p>
    <w:p w14:paraId="4506B7A1" w14:textId="48021714" w:rsidR="00F0288B" w:rsidRPr="00EF4C49" w:rsidRDefault="005147BF" w:rsidP="00EF4C49">
      <w:pPr>
        <w:pStyle w:val="ListParagraph"/>
        <w:numPr>
          <w:ilvl w:val="0"/>
          <w:numId w:val="7"/>
        </w:numPr>
        <w:spacing w:after="0" w:line="240" w:lineRule="auto"/>
        <w:ind w:left="360" w:hanging="270"/>
        <w:rPr>
          <w:rFonts w:asciiTheme="minorHAnsi" w:hAnsiTheme="minorHAnsi" w:cstheme="minorHAnsi"/>
          <w:color w:val="000000" w:themeColor="text1"/>
          <w:sz w:val="22"/>
        </w:rPr>
      </w:pPr>
      <w:r w:rsidRPr="008B3BA5">
        <w:rPr>
          <w:rFonts w:asciiTheme="minorHAnsi" w:hAnsiTheme="minorHAnsi" w:cstheme="minorHAnsi"/>
          <w:color w:val="000000" w:themeColor="text1"/>
          <w:sz w:val="22"/>
        </w:rPr>
        <w:t>If you satisfy the requirements, </w:t>
      </w:r>
      <w:hyperlink r:id="rId14" w:history="1">
        <w:r w:rsidRPr="008B3BA5">
          <w:rPr>
            <w:rStyle w:val="Hyperlink"/>
            <w:rFonts w:asciiTheme="minorHAnsi" w:eastAsia="Calibri" w:hAnsiTheme="minorHAnsi" w:cstheme="minorHAnsi"/>
            <w:color w:val="000000" w:themeColor="text1"/>
            <w:sz w:val="22"/>
            <w:u w:val="none"/>
          </w:rPr>
          <w:t>qualified distributions</w:t>
        </w:r>
      </w:hyperlink>
      <w:r w:rsidRPr="008B3BA5">
        <w:rPr>
          <w:rFonts w:asciiTheme="minorHAnsi" w:hAnsiTheme="minorHAnsi" w:cstheme="minorHAnsi"/>
          <w:color w:val="000000" w:themeColor="text1"/>
          <w:sz w:val="22"/>
          <w:u w:val="single"/>
        </w:rPr>
        <w:t xml:space="preserve"> </w:t>
      </w:r>
      <w:r w:rsidR="00B16D3A">
        <w:rPr>
          <w:rFonts w:asciiTheme="minorHAnsi" w:hAnsiTheme="minorHAnsi" w:cstheme="minorHAnsi"/>
          <w:color w:val="000000" w:themeColor="text1"/>
          <w:sz w:val="22"/>
        </w:rPr>
        <w:t>can be</w:t>
      </w:r>
      <w:r w:rsidRPr="008B3BA5">
        <w:rPr>
          <w:rFonts w:asciiTheme="minorHAnsi" w:hAnsiTheme="minorHAnsi" w:cstheme="minorHAnsi"/>
          <w:color w:val="000000" w:themeColor="text1"/>
          <w:sz w:val="22"/>
        </w:rPr>
        <w:t xml:space="preserve"> tax-free.</w:t>
      </w:r>
    </w:p>
    <w:p w14:paraId="26FBF28F" w14:textId="24D2D629" w:rsidR="00F0288B" w:rsidRPr="00EF4C49" w:rsidRDefault="005147BF" w:rsidP="00EF4C49">
      <w:pPr>
        <w:pStyle w:val="ListParagraph"/>
        <w:numPr>
          <w:ilvl w:val="0"/>
          <w:numId w:val="7"/>
        </w:numPr>
        <w:spacing w:after="0" w:line="240" w:lineRule="auto"/>
        <w:ind w:left="360" w:hanging="270"/>
        <w:rPr>
          <w:rFonts w:asciiTheme="minorHAnsi" w:hAnsiTheme="minorHAnsi" w:cstheme="minorHAnsi"/>
          <w:color w:val="000000" w:themeColor="text1"/>
          <w:sz w:val="22"/>
        </w:rPr>
      </w:pPr>
      <w:r w:rsidRPr="008B3BA5">
        <w:rPr>
          <w:rFonts w:asciiTheme="minorHAnsi" w:hAnsiTheme="minorHAnsi" w:cstheme="minorHAnsi"/>
          <w:color w:val="000000" w:themeColor="text1"/>
          <w:sz w:val="22"/>
        </w:rPr>
        <w:t>You can leave funds in your Roth IRA for your entire lifetime.</w:t>
      </w:r>
    </w:p>
    <w:p w14:paraId="6AA0C83D" w14:textId="0157055C" w:rsidR="005147BF" w:rsidRPr="00B16D3A" w:rsidRDefault="005147BF" w:rsidP="00F0288B">
      <w:pPr>
        <w:pStyle w:val="ListParagraph"/>
        <w:numPr>
          <w:ilvl w:val="0"/>
          <w:numId w:val="7"/>
        </w:numPr>
        <w:spacing w:after="0" w:line="240" w:lineRule="auto"/>
        <w:ind w:left="360" w:hanging="270"/>
        <w:rPr>
          <w:rFonts w:asciiTheme="minorHAnsi" w:hAnsiTheme="minorHAnsi" w:cstheme="minorHAnsi"/>
          <w:color w:val="000000" w:themeColor="text1"/>
          <w:sz w:val="22"/>
        </w:rPr>
      </w:pPr>
      <w:r w:rsidRPr="008B3BA5">
        <w:rPr>
          <w:rFonts w:asciiTheme="minorHAnsi" w:hAnsiTheme="minorHAnsi" w:cstheme="minorHAnsi"/>
          <w:color w:val="000000" w:themeColor="text1"/>
          <w:sz w:val="22"/>
        </w:rPr>
        <w:t>Beneficiaries inherit your Roth IRAs tax-free, if account requirements have been satisfied.</w:t>
      </w:r>
    </w:p>
    <w:p w14:paraId="7DC21478" w14:textId="77777777" w:rsidR="00636824" w:rsidRDefault="00636824" w:rsidP="005147BF">
      <w:pPr>
        <w:spacing w:after="0" w:line="240" w:lineRule="auto"/>
        <w:jc w:val="both"/>
        <w:rPr>
          <w:bCs/>
          <w:color w:val="000000" w:themeColor="text1"/>
          <w:szCs w:val="20"/>
        </w:rPr>
      </w:pPr>
    </w:p>
    <w:p w14:paraId="352EBA61" w14:textId="75C71604" w:rsidR="005147BF" w:rsidRDefault="005147BF" w:rsidP="005147BF">
      <w:pPr>
        <w:spacing w:after="0" w:line="240" w:lineRule="auto"/>
        <w:jc w:val="both"/>
        <w:rPr>
          <w:color w:val="000000" w:themeColor="text1"/>
          <w:szCs w:val="20"/>
        </w:rPr>
      </w:pPr>
      <w:r w:rsidRPr="008B3BA5">
        <w:rPr>
          <w:bCs/>
          <w:color w:val="000000" w:themeColor="text1"/>
          <w:szCs w:val="20"/>
        </w:rPr>
        <w:t xml:space="preserve">Many </w:t>
      </w:r>
      <w:r w:rsidRPr="008B3BA5">
        <w:rPr>
          <w:color w:val="000000" w:themeColor="text1"/>
          <w:szCs w:val="20"/>
        </w:rPr>
        <w:t xml:space="preserve">investors know and understand that the largest benefit of the </w:t>
      </w:r>
      <w:r w:rsidRPr="008B3BA5">
        <w:rPr>
          <w:bCs/>
          <w:color w:val="000000" w:themeColor="text1"/>
          <w:szCs w:val="20"/>
        </w:rPr>
        <w:t>Roth IRA</w:t>
      </w:r>
      <w:r w:rsidRPr="008B3BA5">
        <w:rPr>
          <w:color w:val="000000" w:themeColor="text1"/>
          <w:szCs w:val="20"/>
        </w:rPr>
        <w:t xml:space="preserve"> is its </w:t>
      </w:r>
      <w:r w:rsidRPr="008B3BA5">
        <w:rPr>
          <w:bCs/>
          <w:color w:val="000000" w:themeColor="text1"/>
          <w:szCs w:val="20"/>
        </w:rPr>
        <w:t>tax</w:t>
      </w:r>
      <w:r w:rsidRPr="008B3BA5">
        <w:rPr>
          <w:color w:val="000000" w:themeColor="text1"/>
          <w:szCs w:val="20"/>
        </w:rPr>
        <w:t xml:space="preserve">-free withdrawal of contributions, interest and earnings in retirement, but </w:t>
      </w:r>
      <w:r w:rsidRPr="008B3BA5">
        <w:rPr>
          <w:bCs/>
          <w:color w:val="000000" w:themeColor="text1"/>
          <w:szCs w:val="20"/>
        </w:rPr>
        <w:t>Roth IRAs</w:t>
      </w:r>
      <w:r w:rsidRPr="008B3BA5">
        <w:rPr>
          <w:color w:val="000000" w:themeColor="text1"/>
          <w:szCs w:val="20"/>
        </w:rPr>
        <w:t xml:space="preserve"> can </w:t>
      </w:r>
      <w:r w:rsidR="00A45734">
        <w:rPr>
          <w:color w:val="000000" w:themeColor="text1"/>
          <w:szCs w:val="20"/>
        </w:rPr>
        <w:t xml:space="preserve">also </w:t>
      </w:r>
      <w:r w:rsidR="00B16D3A">
        <w:rPr>
          <w:color w:val="000000" w:themeColor="text1"/>
          <w:szCs w:val="20"/>
        </w:rPr>
        <w:t>be a powerful part of</w:t>
      </w:r>
      <w:r w:rsidRPr="008B3BA5">
        <w:rPr>
          <w:color w:val="000000" w:themeColor="text1"/>
          <w:szCs w:val="20"/>
        </w:rPr>
        <w:t xml:space="preserve"> </w:t>
      </w:r>
      <w:r w:rsidR="00B16D3A" w:rsidRPr="008B3BA5">
        <w:rPr>
          <w:color w:val="000000" w:themeColor="text1"/>
          <w:szCs w:val="20"/>
        </w:rPr>
        <w:t>good</w:t>
      </w:r>
      <w:r w:rsidRPr="008B3BA5">
        <w:rPr>
          <w:color w:val="000000" w:themeColor="text1"/>
          <w:szCs w:val="20"/>
        </w:rPr>
        <w:t xml:space="preserve"> </w:t>
      </w:r>
      <w:r w:rsidRPr="008B3BA5">
        <w:rPr>
          <w:bCs/>
          <w:color w:val="000000" w:themeColor="text1"/>
          <w:szCs w:val="20"/>
        </w:rPr>
        <w:t>estate planning</w:t>
      </w:r>
      <w:r w:rsidRPr="008B3BA5">
        <w:rPr>
          <w:color w:val="000000" w:themeColor="text1"/>
          <w:szCs w:val="20"/>
        </w:rPr>
        <w:t>.</w:t>
      </w:r>
    </w:p>
    <w:p w14:paraId="5CA5867D" w14:textId="498863D6" w:rsidR="005147BF" w:rsidRPr="00E702D3" w:rsidRDefault="0006264E" w:rsidP="00A819C9">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A819C9">
        <w:rPr>
          <w:rFonts w:cstheme="minorHAnsi"/>
          <w:b/>
          <w:noProof/>
          <w:color w:val="FFFFFF" w:themeColor="background1"/>
          <w:sz w:val="28"/>
          <w:szCs w:val="28"/>
          <w14:shadow w14:blurRad="50800" w14:dist="38100" w14:dir="2700000" w14:sx="100000" w14:sy="100000" w14:kx="0" w14:ky="0" w14:algn="tl">
            <w14:srgbClr w14:val="000000">
              <w14:alpha w14:val="60000"/>
            </w14:srgbClr>
          </w14:shadow>
        </w:rPr>
        <w:lastRenderedPageBreak/>
        <w:drawing>
          <wp:anchor distT="0" distB="91440" distL="114300" distR="114300" simplePos="0" relativeHeight="251721728" behindDoc="0" locked="0" layoutInCell="1" allowOverlap="1" wp14:anchorId="08849750" wp14:editId="126B344D">
            <wp:simplePos x="0" y="0"/>
            <wp:positionH relativeFrom="page">
              <wp:align>center</wp:align>
            </wp:positionH>
            <wp:positionV relativeFrom="paragraph">
              <wp:posOffset>173</wp:posOffset>
            </wp:positionV>
            <wp:extent cx="6779895" cy="1764665"/>
            <wp:effectExtent l="0" t="0" r="1905" b="0"/>
            <wp:wrapSquare wrapText="bothSides"/>
            <wp:docPr id="8546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096" name="Picture 1"/>
                    <pic:cNvPicPr/>
                  </pic:nvPicPr>
                  <pic:blipFill>
                    <a:blip r:embed="rId15">
                      <a:extLst>
                        <a:ext uri="{96DAC541-7B7A-43D3-8B79-37D633B846F1}">
                          <asvg:svgBlip xmlns:asvg="http://schemas.microsoft.com/office/drawing/2016/SVG/main" r:embed="rId16"/>
                        </a:ext>
                      </a:extLst>
                    </a:blip>
                    <a:srcRect t="5815" b="5815"/>
                    <a:stretch>
                      <a:fillRect/>
                    </a:stretch>
                  </pic:blipFill>
                  <pic:spPr bwMode="auto">
                    <a:xfrm>
                      <a:off x="0" y="0"/>
                      <a:ext cx="6779895" cy="176466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7BF" w:rsidRPr="00A819C9">
        <w:rPr>
          <w:rFonts w:cstheme="minorHAnsi"/>
          <w:b/>
          <w:color w:val="FFFFFF" w:themeColor="background1"/>
          <w:sz w:val="28"/>
          <w:szCs w:val="28"/>
          <w14:shadow w14:blurRad="50800" w14:dist="38100" w14:dir="2700000" w14:sx="100000" w14:sy="100000" w14:kx="0" w14:ky="0" w14:algn="tl">
            <w14:srgbClr w14:val="000000">
              <w14:alpha w14:val="60000"/>
            </w14:srgbClr>
          </w14:shadow>
        </w:rPr>
        <w:t>Spousal</w:t>
      </w:r>
      <w:r w:rsidR="005147BF"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 xml:space="preserve"> IRA</w:t>
      </w:r>
    </w:p>
    <w:p w14:paraId="5525536F" w14:textId="4B0A8371" w:rsidR="005147BF" w:rsidRDefault="00654A42" w:rsidP="005147BF">
      <w:pPr>
        <w:shd w:val="clear" w:color="auto" w:fill="FFFFFF"/>
        <w:spacing w:after="0" w:line="240" w:lineRule="auto"/>
        <w:jc w:val="both"/>
        <w:textAlignment w:val="baseline"/>
        <w:rPr>
          <w:szCs w:val="20"/>
        </w:rPr>
      </w:pPr>
      <w:r>
        <w:rPr>
          <w:sz w:val="8"/>
          <w:szCs w:val="8"/>
        </w:rPr>
        <w:br/>
      </w:r>
      <w:r w:rsidR="005147BF">
        <w:rPr>
          <w:szCs w:val="20"/>
        </w:rPr>
        <w:t xml:space="preserve">If your spouse </w:t>
      </w:r>
      <w:r w:rsidR="005B3893">
        <w:rPr>
          <w:szCs w:val="20"/>
        </w:rPr>
        <w:t>does not</w:t>
      </w:r>
      <w:r w:rsidR="005147BF">
        <w:rPr>
          <w:szCs w:val="20"/>
        </w:rPr>
        <w:t xml:space="preserve"> work, they can still </w:t>
      </w:r>
      <w:r w:rsidR="00A051C6">
        <w:rPr>
          <w:szCs w:val="20"/>
        </w:rPr>
        <w:t>fund</w:t>
      </w:r>
      <w:r w:rsidR="005147BF">
        <w:rPr>
          <w:szCs w:val="20"/>
        </w:rPr>
        <w:t xml:space="preserve"> a spousal traditional or Roth IRA. This allows non-wage-earning spouses to contribute to their own traditional or Roth IRA, provided the other spouse is working and the couple files a joint federal income tax return. If the working spouse is covered by a retirement plan at work, deductibility of contributions to a spousal traditional IRA would be phased out at higher incomes. Eligible married spouses can each contribute up to the contribution limit each year to their respective IRAs (spousal IRAs are also eligible for a $1,000 catch-up contribution for those 50 and older). </w:t>
      </w:r>
      <w:r w:rsidR="005147BF">
        <w:rPr>
          <w:b/>
          <w:szCs w:val="20"/>
        </w:rPr>
        <w:t>To discuss spousal IRA strategies, call us.</w:t>
      </w:r>
    </w:p>
    <w:p w14:paraId="13FEA3FE" w14:textId="2FA0BF6C" w:rsidR="005147BF" w:rsidRDefault="005147BF" w:rsidP="005147BF">
      <w:pPr>
        <w:shd w:val="clear" w:color="auto" w:fill="FFFFFF"/>
        <w:spacing w:after="0" w:line="240" w:lineRule="auto"/>
        <w:jc w:val="both"/>
        <w:textAlignment w:val="baseline"/>
        <w:rPr>
          <w:szCs w:val="20"/>
        </w:rPr>
      </w:pPr>
    </w:p>
    <w:p w14:paraId="2AE5F282" w14:textId="4D73F780" w:rsidR="005147BF" w:rsidRPr="00E702D3" w:rsidRDefault="005147BF" w:rsidP="005147BF">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Custodial Roth IRA</w:t>
      </w:r>
    </w:p>
    <w:p w14:paraId="529537A6" w14:textId="543C8414" w:rsidR="005147BF" w:rsidRPr="008B3BA5" w:rsidRDefault="00654A42" w:rsidP="005147BF">
      <w:pPr>
        <w:spacing w:after="240" w:line="240" w:lineRule="auto"/>
        <w:jc w:val="both"/>
        <w:textAlignment w:val="baseline"/>
        <w:rPr>
          <w:color w:val="000000" w:themeColor="text1"/>
          <w:szCs w:val="20"/>
        </w:rPr>
      </w:pPr>
      <w:r>
        <w:rPr>
          <w:color w:val="000000" w:themeColor="text1"/>
          <w:sz w:val="8"/>
          <w:szCs w:val="8"/>
        </w:rPr>
        <w:br/>
      </w:r>
      <w:r w:rsidR="005147BF" w:rsidRPr="008B3BA5">
        <w:rPr>
          <w:color w:val="000000" w:themeColor="text1"/>
          <w:szCs w:val="20"/>
        </w:rPr>
        <w:t xml:space="preserve">Starting retirement savings early can allow the potential advantage of growing money in a tax efficient account over a long period of time. Many children work before age 18. </w:t>
      </w:r>
      <w:r w:rsidR="00A051C6">
        <w:rPr>
          <w:color w:val="000000" w:themeColor="text1"/>
          <w:szCs w:val="20"/>
        </w:rPr>
        <w:t>Earned income</w:t>
      </w:r>
      <w:r w:rsidR="005147BF" w:rsidRPr="008B3BA5">
        <w:rPr>
          <w:color w:val="000000" w:themeColor="text1"/>
          <w:szCs w:val="20"/>
        </w:rPr>
        <w:t xml:space="preserve"> makes them eligible to contribute to a Roth IRA, which can be a smart move for teenagers. This can also provide an excellent opportunity to teach or reinforce the importance of saving money. </w:t>
      </w:r>
    </w:p>
    <w:p w14:paraId="4184ADA7" w14:textId="3B10CF60" w:rsidR="005147BF" w:rsidRPr="008B3BA5" w:rsidRDefault="005147BF" w:rsidP="005147BF">
      <w:pPr>
        <w:spacing w:after="240" w:line="240" w:lineRule="auto"/>
        <w:jc w:val="both"/>
        <w:textAlignment w:val="baseline"/>
        <w:rPr>
          <w:color w:val="000000" w:themeColor="text1"/>
          <w:szCs w:val="20"/>
        </w:rPr>
      </w:pPr>
      <w:r w:rsidRPr="008B3BA5">
        <w:rPr>
          <w:color w:val="000000" w:themeColor="text1"/>
          <w:szCs w:val="20"/>
        </w:rPr>
        <w:t>Some of the rules regarding custodial Roth IRAs are:</w:t>
      </w:r>
    </w:p>
    <w:p w14:paraId="1A06AB0C" w14:textId="17736EC8" w:rsidR="005147BF" w:rsidRPr="00630DE7" w:rsidRDefault="005147BF" w:rsidP="005147BF">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 xml:space="preserve">To be eligible to open a custodial Roth IRA, the child must meet all the same requirements as an adult. The minor must have earned income and contributions are </w:t>
      </w:r>
      <w:r w:rsidRPr="00B23E6C">
        <w:rPr>
          <w:rFonts w:asciiTheme="minorHAnsi" w:hAnsiTheme="minorHAnsi" w:cstheme="minorHAnsi"/>
          <w:color w:val="auto"/>
          <w:sz w:val="22"/>
        </w:rPr>
        <w:t>limited to the lesser of total earned income for the year and the current maximum set by law, which for 20</w:t>
      </w:r>
      <w:r w:rsidR="005B3893" w:rsidRPr="00B23E6C">
        <w:rPr>
          <w:rFonts w:asciiTheme="minorHAnsi" w:hAnsiTheme="minorHAnsi" w:cstheme="minorHAnsi"/>
          <w:color w:val="auto"/>
          <w:sz w:val="22"/>
        </w:rPr>
        <w:t>2</w:t>
      </w:r>
      <w:r w:rsidR="00F0288B">
        <w:rPr>
          <w:rFonts w:asciiTheme="minorHAnsi" w:hAnsiTheme="minorHAnsi" w:cstheme="minorHAnsi"/>
          <w:color w:val="auto"/>
          <w:sz w:val="22"/>
        </w:rPr>
        <w:t>5</w:t>
      </w:r>
      <w:r w:rsidR="0029590C" w:rsidRPr="00B23E6C">
        <w:rPr>
          <w:rFonts w:asciiTheme="minorHAnsi" w:hAnsiTheme="minorHAnsi" w:cstheme="minorHAnsi"/>
          <w:color w:val="auto"/>
          <w:sz w:val="22"/>
        </w:rPr>
        <w:t xml:space="preserve"> </w:t>
      </w:r>
      <w:r w:rsidRPr="00B23E6C">
        <w:rPr>
          <w:rFonts w:asciiTheme="minorHAnsi" w:hAnsiTheme="minorHAnsi" w:cstheme="minorHAnsi"/>
          <w:color w:val="auto"/>
          <w:sz w:val="22"/>
        </w:rPr>
        <w:t>is $</w:t>
      </w:r>
      <w:r w:rsidR="00E0189C">
        <w:rPr>
          <w:rFonts w:asciiTheme="minorHAnsi" w:hAnsiTheme="minorHAnsi" w:cstheme="minorHAnsi"/>
          <w:color w:val="auto"/>
          <w:sz w:val="22"/>
        </w:rPr>
        <w:t>7</w:t>
      </w:r>
      <w:r w:rsidRPr="00B23E6C">
        <w:rPr>
          <w:rFonts w:asciiTheme="minorHAnsi" w:hAnsiTheme="minorHAnsi" w:cstheme="minorHAnsi"/>
          <w:color w:val="auto"/>
          <w:sz w:val="22"/>
        </w:rPr>
        <w:t>,</w:t>
      </w:r>
      <w:r w:rsidR="00E0189C">
        <w:rPr>
          <w:rFonts w:asciiTheme="minorHAnsi" w:hAnsiTheme="minorHAnsi" w:cstheme="minorHAnsi"/>
          <w:color w:val="auto"/>
          <w:sz w:val="22"/>
        </w:rPr>
        <w:t>0</w:t>
      </w:r>
      <w:r w:rsidRPr="00B23E6C">
        <w:rPr>
          <w:rFonts w:asciiTheme="minorHAnsi" w:hAnsiTheme="minorHAnsi" w:cstheme="minorHAnsi"/>
          <w:color w:val="auto"/>
          <w:sz w:val="22"/>
        </w:rPr>
        <w:t>00</w:t>
      </w:r>
      <w:r w:rsidR="0029590C" w:rsidRPr="00B23E6C">
        <w:rPr>
          <w:rFonts w:asciiTheme="minorHAnsi" w:hAnsiTheme="minorHAnsi" w:cstheme="minorHAnsi"/>
          <w:color w:val="auto"/>
          <w:sz w:val="22"/>
        </w:rPr>
        <w:t>.</w:t>
      </w:r>
    </w:p>
    <w:p w14:paraId="6702A621" w14:textId="4F6B5CDD" w:rsidR="00630DE7" w:rsidRDefault="00630DE7" w:rsidP="00630DE7">
      <w:pPr>
        <w:pStyle w:val="ListParagraph"/>
        <w:spacing w:after="240" w:line="240" w:lineRule="auto"/>
        <w:ind w:left="270" w:firstLine="0"/>
        <w:textAlignment w:val="baseline"/>
        <w:rPr>
          <w:rFonts w:asciiTheme="minorHAnsi" w:hAnsiTheme="minorHAnsi" w:cstheme="minorHAnsi"/>
          <w:color w:val="0D0D0D" w:themeColor="text1" w:themeTint="F2"/>
          <w:sz w:val="22"/>
        </w:rPr>
      </w:pPr>
    </w:p>
    <w:p w14:paraId="42B8E064" w14:textId="1F1112F5" w:rsidR="00630DE7" w:rsidRPr="00630DE7" w:rsidRDefault="005147BF" w:rsidP="00630DE7">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 xml:space="preserve">Adjusted gross income for the child must be below the thresholds above which Roth IRAs </w:t>
      </w:r>
      <w:r w:rsidR="00B74326">
        <w:rPr>
          <w:rFonts w:asciiTheme="minorHAnsi" w:hAnsiTheme="minorHAnsi" w:cstheme="minorHAnsi"/>
          <w:color w:val="0D0D0D" w:themeColor="text1" w:themeTint="F2"/>
          <w:sz w:val="22"/>
        </w:rPr>
        <w:t>are not</w:t>
      </w:r>
      <w:r>
        <w:rPr>
          <w:rFonts w:asciiTheme="minorHAnsi" w:hAnsiTheme="minorHAnsi" w:cstheme="minorHAnsi"/>
          <w:color w:val="0D0D0D" w:themeColor="text1" w:themeTint="F2"/>
          <w:sz w:val="22"/>
        </w:rPr>
        <w:t xml:space="preserve"> allowed.</w:t>
      </w:r>
      <w:r w:rsidR="00630DE7">
        <w:rPr>
          <w:rFonts w:asciiTheme="minorHAnsi" w:hAnsiTheme="minorHAnsi" w:cstheme="minorHAnsi"/>
          <w:color w:val="0D0D0D" w:themeColor="text1" w:themeTint="F2"/>
          <w:sz w:val="22"/>
        </w:rPr>
        <w:br/>
      </w:r>
    </w:p>
    <w:p w14:paraId="0AF9590D" w14:textId="46BB6DF0" w:rsidR="005147BF" w:rsidRDefault="00654A42" w:rsidP="005147BF">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T</w:t>
      </w:r>
      <w:r w:rsidR="005147BF">
        <w:rPr>
          <w:rFonts w:asciiTheme="minorHAnsi" w:hAnsiTheme="minorHAnsi" w:cstheme="minorHAnsi"/>
          <w:color w:val="0D0D0D" w:themeColor="text1" w:themeTint="F2"/>
          <w:sz w:val="22"/>
        </w:rPr>
        <w:t>he Roth IRA must be managed for the benefit of the minor child. </w:t>
      </w:r>
    </w:p>
    <w:p w14:paraId="4644D638" w14:textId="5681CAF3" w:rsidR="00630DE7" w:rsidRPr="00630DE7" w:rsidRDefault="00630DE7" w:rsidP="00630DE7">
      <w:pPr>
        <w:spacing w:after="240" w:line="240" w:lineRule="auto"/>
        <w:textAlignment w:val="baseline"/>
        <w:rPr>
          <w:rFonts w:cstheme="minorHAnsi"/>
          <w:color w:val="0D0D0D" w:themeColor="text1" w:themeTint="F2"/>
        </w:rPr>
      </w:pPr>
    </w:p>
    <w:p w14:paraId="1AD9F402" w14:textId="0B76041C" w:rsidR="005147BF" w:rsidRDefault="005147BF" w:rsidP="005147BF">
      <w:pPr>
        <w:pStyle w:val="ListParagraph"/>
        <w:numPr>
          <w:ilvl w:val="0"/>
          <w:numId w:val="8"/>
        </w:numPr>
        <w:spacing w:after="240" w:line="240" w:lineRule="auto"/>
        <w:ind w:left="270" w:hanging="270"/>
        <w:textAlignment w:val="baseline"/>
        <w:rPr>
          <w:color w:val="0D0D0D" w:themeColor="text1" w:themeTint="F2"/>
          <w:sz w:val="21"/>
          <w:szCs w:val="21"/>
        </w:rPr>
      </w:pPr>
      <w:r>
        <w:rPr>
          <w:rFonts w:asciiTheme="minorHAnsi" w:hAnsiTheme="minorHAnsi" w:cstheme="minorHAnsi"/>
          <w:color w:val="0D0D0D" w:themeColor="text1" w:themeTint="F2"/>
          <w:sz w:val="22"/>
        </w:rPr>
        <w:t>As the custodian, you make the decisions on investment choices—as well as decisions on if, why, and when the money might be withdrawn—until your child reaches “adulthood,” defined by age (usually between 18 and 21, depending on your state of residence). Once they reach that age, the account will then need to be re-registered in their name and it becomes an ordinary Roth IRA</w:t>
      </w:r>
      <w:r>
        <w:rPr>
          <w:color w:val="0D0D0D" w:themeColor="text1" w:themeTint="F2"/>
          <w:sz w:val="21"/>
          <w:szCs w:val="21"/>
        </w:rPr>
        <w:t>. </w:t>
      </w:r>
    </w:p>
    <w:p w14:paraId="3672B19E" w14:textId="173947D5" w:rsidR="005147BF" w:rsidRDefault="005147BF" w:rsidP="005147BF">
      <w:pPr>
        <w:spacing w:after="240" w:line="240" w:lineRule="auto"/>
        <w:jc w:val="both"/>
        <w:textAlignment w:val="baseline"/>
        <w:rPr>
          <w:szCs w:val="20"/>
        </w:rPr>
      </w:pPr>
      <w:r>
        <w:rPr>
          <w:szCs w:val="20"/>
        </w:rPr>
        <w:t xml:space="preserve">If </w:t>
      </w:r>
      <w:r w:rsidR="00B74326">
        <w:rPr>
          <w:szCs w:val="20"/>
        </w:rPr>
        <w:t>you are</w:t>
      </w:r>
      <w:r>
        <w:rPr>
          <w:szCs w:val="20"/>
        </w:rPr>
        <w:t xml:space="preserve"> the parent of a child who has earned income, a Custodial IRA can be a great way to teach the value of saving and investing. Besides getting a head start on saving, your child may be able to use the funds for college expenses—or even to buy a first home.</w:t>
      </w:r>
    </w:p>
    <w:p w14:paraId="6914B969" w14:textId="3B7685CE" w:rsidR="005147BF" w:rsidRDefault="005147BF" w:rsidP="007268C1">
      <w:pPr>
        <w:spacing w:after="240" w:line="240" w:lineRule="auto"/>
        <w:jc w:val="both"/>
        <w:textAlignment w:val="baseline"/>
        <w:rPr>
          <w:szCs w:val="20"/>
        </w:rPr>
      </w:pPr>
      <w:r>
        <w:rPr>
          <w:szCs w:val="20"/>
        </w:rPr>
        <w:t xml:space="preserve">There are several ways to fund a Custodial Roth. For example, you can potentially use your annual ability </w:t>
      </w:r>
      <w:r w:rsidR="00E0189C">
        <w:rPr>
          <w:szCs w:val="20"/>
        </w:rPr>
        <w:t>to give gift</w:t>
      </w:r>
      <w:r w:rsidR="009E52BE">
        <w:rPr>
          <w:szCs w:val="20"/>
        </w:rPr>
        <w:t>s</w:t>
      </w:r>
      <w:r w:rsidR="00E0189C">
        <w:rPr>
          <w:szCs w:val="20"/>
        </w:rPr>
        <w:t xml:space="preserve"> </w:t>
      </w:r>
      <w:r>
        <w:rPr>
          <w:szCs w:val="20"/>
        </w:rPr>
        <w:t xml:space="preserve">to children or grandchildren to make this happen. </w:t>
      </w:r>
      <w:r>
        <w:rPr>
          <w:b/>
          <w:szCs w:val="20"/>
        </w:rPr>
        <w:t xml:space="preserve">If your child or grandchild is earning money, call us </w:t>
      </w:r>
      <w:r w:rsidR="007268C1">
        <w:rPr>
          <w:b/>
          <w:szCs w:val="20"/>
        </w:rPr>
        <w:t>to</w:t>
      </w:r>
      <w:r>
        <w:rPr>
          <w:b/>
          <w:szCs w:val="20"/>
        </w:rPr>
        <w:t xml:space="preserve"> discuss</w:t>
      </w:r>
      <w:r w:rsidR="007268C1">
        <w:rPr>
          <w:b/>
          <w:szCs w:val="20"/>
        </w:rPr>
        <w:t xml:space="preserve"> </w:t>
      </w:r>
      <w:r>
        <w:rPr>
          <w:b/>
          <w:szCs w:val="20"/>
        </w:rPr>
        <w:t>options for setting up a Custodial</w:t>
      </w:r>
      <w:r w:rsidR="007268C1">
        <w:rPr>
          <w:b/>
          <w:szCs w:val="20"/>
        </w:rPr>
        <w:t xml:space="preserve"> </w:t>
      </w:r>
      <w:r>
        <w:rPr>
          <w:b/>
          <w:szCs w:val="20"/>
        </w:rPr>
        <w:t>Roth.</w:t>
      </w:r>
    </w:p>
    <w:p w14:paraId="5B19E821" w14:textId="36CF261E"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“Backdoor” Roth IRA</w:t>
      </w:r>
    </w:p>
    <w:p w14:paraId="0BEB24EA" w14:textId="778120E4" w:rsidR="005147BF" w:rsidRPr="00B23E6C" w:rsidRDefault="00654A42" w:rsidP="005147BF">
      <w:pPr>
        <w:spacing w:after="240" w:line="240" w:lineRule="auto"/>
        <w:jc w:val="both"/>
        <w:textAlignment w:val="baseline"/>
        <w:rPr>
          <w:szCs w:val="20"/>
        </w:rPr>
      </w:pPr>
      <w:r>
        <w:rPr>
          <w:sz w:val="8"/>
          <w:szCs w:val="8"/>
        </w:rPr>
        <w:br/>
      </w:r>
      <w:r w:rsidR="005147BF" w:rsidRPr="00B23E6C">
        <w:rPr>
          <w:szCs w:val="20"/>
        </w:rPr>
        <w:t>The traditional contribution ("front door") for Roth IRAs is currently not available for higher income earners. Married couples</w:t>
      </w:r>
      <w:r w:rsidR="0029590C" w:rsidRPr="00B23E6C">
        <w:rPr>
          <w:szCs w:val="20"/>
        </w:rPr>
        <w:t xml:space="preserve"> filing jointly</w:t>
      </w:r>
      <w:r w:rsidR="005147BF" w:rsidRPr="00B23E6C">
        <w:rPr>
          <w:szCs w:val="20"/>
        </w:rPr>
        <w:t xml:space="preserve"> earning $2</w:t>
      </w:r>
      <w:r w:rsidR="00E81C3E">
        <w:rPr>
          <w:szCs w:val="20"/>
        </w:rPr>
        <w:t>4</w:t>
      </w:r>
      <w:r w:rsidR="00630DE7">
        <w:rPr>
          <w:szCs w:val="20"/>
        </w:rPr>
        <w:t>6</w:t>
      </w:r>
      <w:r w:rsidR="0029590C" w:rsidRPr="00B23E6C">
        <w:rPr>
          <w:szCs w:val="20"/>
        </w:rPr>
        <w:t>,000</w:t>
      </w:r>
      <w:r w:rsidR="005147BF" w:rsidRPr="00B23E6C">
        <w:rPr>
          <w:szCs w:val="20"/>
        </w:rPr>
        <w:t xml:space="preserve"> or more and single</w:t>
      </w:r>
      <w:r w:rsidR="0029590C" w:rsidRPr="00B23E6C">
        <w:rPr>
          <w:szCs w:val="20"/>
        </w:rPr>
        <w:t xml:space="preserve"> filers </w:t>
      </w:r>
      <w:r w:rsidR="005147BF" w:rsidRPr="00B23E6C">
        <w:rPr>
          <w:szCs w:val="20"/>
        </w:rPr>
        <w:t>earning $1</w:t>
      </w:r>
      <w:r w:rsidR="00E81C3E">
        <w:rPr>
          <w:szCs w:val="20"/>
        </w:rPr>
        <w:t>6</w:t>
      </w:r>
      <w:r w:rsidR="00630DE7">
        <w:rPr>
          <w:szCs w:val="20"/>
        </w:rPr>
        <w:t>5</w:t>
      </w:r>
      <w:r w:rsidR="005147BF" w:rsidRPr="00B23E6C">
        <w:rPr>
          <w:szCs w:val="20"/>
        </w:rPr>
        <w:t>,000 or more in 202</w:t>
      </w:r>
      <w:r w:rsidR="00630DE7">
        <w:rPr>
          <w:szCs w:val="20"/>
        </w:rPr>
        <w:t>5</w:t>
      </w:r>
      <w:r w:rsidR="005147BF" w:rsidRPr="00B23E6C">
        <w:rPr>
          <w:szCs w:val="20"/>
        </w:rPr>
        <w:t xml:space="preserve"> are still fully excluded from contributing directly to Roth IRAs.</w:t>
      </w:r>
    </w:p>
    <w:p w14:paraId="56F3E033" w14:textId="7CFECED4" w:rsidR="005147BF" w:rsidRDefault="00B16D3A" w:rsidP="00B74326">
      <w:pPr>
        <w:spacing w:after="0" w:line="240" w:lineRule="auto"/>
        <w:jc w:val="both"/>
        <w:rPr>
          <w:color w:val="2E74B5" w:themeColor="accent5" w:themeShade="BF"/>
          <w:szCs w:val="20"/>
        </w:rPr>
      </w:pPr>
      <w:r>
        <w:rPr>
          <w:b/>
          <w:bCs/>
          <w:color w:val="000000" w:themeColor="text1"/>
          <w:szCs w:val="20"/>
        </w:rPr>
        <w:t>Even though higher earners are ineligible to contribute to a Roth I</w:t>
      </w:r>
      <w:r w:rsidR="009E52BE">
        <w:rPr>
          <w:b/>
          <w:bCs/>
          <w:color w:val="000000" w:themeColor="text1"/>
          <w:szCs w:val="20"/>
        </w:rPr>
        <w:t>RA</w:t>
      </w:r>
      <w:r>
        <w:rPr>
          <w:b/>
          <w:bCs/>
          <w:color w:val="000000" w:themeColor="text1"/>
          <w:szCs w:val="20"/>
        </w:rPr>
        <w:t>, i</w:t>
      </w:r>
      <w:r w:rsidR="005147BF" w:rsidRPr="008B3BA5">
        <w:rPr>
          <w:b/>
          <w:bCs/>
          <w:color w:val="000000" w:themeColor="text1"/>
          <w:szCs w:val="20"/>
        </w:rPr>
        <w:t xml:space="preserve">n 2010, Congress changed the rules and since then anyone can convert a traditional IRA to a Roth </w:t>
      </w:r>
      <w:r w:rsidR="003B191F" w:rsidRPr="008B3BA5">
        <w:rPr>
          <w:b/>
          <w:bCs/>
          <w:color w:val="000000" w:themeColor="text1"/>
          <w:szCs w:val="20"/>
        </w:rPr>
        <w:t>IRA.</w:t>
      </w:r>
      <w:r w:rsidR="005147BF" w:rsidRPr="008B3BA5">
        <w:rPr>
          <w:color w:val="000000" w:themeColor="text1"/>
          <w:szCs w:val="20"/>
        </w:rPr>
        <w:t xml:space="preserve"> </w:t>
      </w:r>
      <w:r w:rsidR="003B191F">
        <w:rPr>
          <w:color w:val="000000" w:themeColor="text1"/>
          <w:szCs w:val="20"/>
        </w:rPr>
        <w:t xml:space="preserve">A </w:t>
      </w:r>
      <w:r w:rsidR="005147BF" w:rsidRPr="008B3BA5">
        <w:rPr>
          <w:color w:val="000000" w:themeColor="text1"/>
          <w:szCs w:val="20"/>
        </w:rPr>
        <w:t xml:space="preserve">Backdoor Roth IRA is a strategy for some higher income earners to participate in Roth IRAs. It </w:t>
      </w:r>
      <w:r>
        <w:rPr>
          <w:color w:val="000000" w:themeColor="text1"/>
          <w:szCs w:val="20"/>
        </w:rPr>
        <w:t>is a strategy of contributing</w:t>
      </w:r>
      <w:r w:rsidR="005147BF" w:rsidRPr="008B3BA5">
        <w:rPr>
          <w:color w:val="000000" w:themeColor="text1"/>
          <w:szCs w:val="20"/>
        </w:rPr>
        <w:t xml:space="preserve"> money into a traditional IRA and then roll</w:t>
      </w:r>
      <w:r>
        <w:rPr>
          <w:color w:val="000000" w:themeColor="text1"/>
          <w:szCs w:val="20"/>
        </w:rPr>
        <w:t>ing</w:t>
      </w:r>
      <w:r w:rsidR="005147BF" w:rsidRPr="008B3BA5">
        <w:rPr>
          <w:color w:val="000000" w:themeColor="text1"/>
          <w:szCs w:val="20"/>
        </w:rPr>
        <w:t xml:space="preserve"> that into a Roth IRA, getting all the benefits. While this strategy sounds simple, there are several rules that you must know and follow to make sure you do not incur unintended tax consequences. This is where working with a knowledgeable financial or tax professional can provide guidance and value</w:t>
      </w:r>
      <w:r w:rsidR="005147BF" w:rsidRPr="0029590C">
        <w:rPr>
          <w:color w:val="2E74B5" w:themeColor="accent5" w:themeShade="BF"/>
          <w:szCs w:val="20"/>
        </w:rPr>
        <w:t xml:space="preserve">. </w:t>
      </w:r>
    </w:p>
    <w:p w14:paraId="05AAA104" w14:textId="77777777" w:rsidR="00A051C6" w:rsidRDefault="00A051C6" w:rsidP="00B74326">
      <w:pPr>
        <w:spacing w:after="0" w:line="240" w:lineRule="auto"/>
        <w:jc w:val="both"/>
        <w:rPr>
          <w:color w:val="2E74B5" w:themeColor="accent5" w:themeShade="BF"/>
          <w:szCs w:val="20"/>
        </w:rPr>
      </w:pPr>
    </w:p>
    <w:p w14:paraId="70F5ACF8" w14:textId="77777777"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lastRenderedPageBreak/>
        <w:t>How Does the Backdoor</w:t>
      </w:r>
    </w:p>
    <w:p w14:paraId="1BF99AE9" w14:textId="5526C329"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Roth IRA Conversion Work?</w:t>
      </w:r>
    </w:p>
    <w:p w14:paraId="51B89703" w14:textId="7055DC73" w:rsidR="005147BF" w:rsidRPr="001F775A" w:rsidRDefault="00654A42" w:rsidP="005147BF">
      <w:pPr>
        <w:spacing w:after="0" w:line="240" w:lineRule="auto"/>
        <w:jc w:val="both"/>
        <w:rPr>
          <w:color w:val="000000" w:themeColor="text1"/>
          <w:sz w:val="16"/>
          <w:szCs w:val="20"/>
        </w:rPr>
      </w:pPr>
      <w:r>
        <w:rPr>
          <w:color w:val="000000" w:themeColor="text1"/>
          <w:sz w:val="8"/>
          <w:szCs w:val="8"/>
        </w:rPr>
        <w:br/>
      </w:r>
      <w:r w:rsidR="005147BF" w:rsidRPr="001F775A">
        <w:rPr>
          <w:color w:val="000000" w:themeColor="text1"/>
          <w:szCs w:val="20"/>
        </w:rPr>
        <w:t>The Backdoor Roth conversion can consist of two steps:</w:t>
      </w:r>
      <w:r w:rsidR="005147BF" w:rsidRPr="001F775A">
        <w:rPr>
          <w:color w:val="000000" w:themeColor="text1"/>
          <w:szCs w:val="20"/>
        </w:rPr>
        <w:br/>
      </w:r>
    </w:p>
    <w:p w14:paraId="31863B09" w14:textId="7E9A90EA" w:rsidR="005147BF" w:rsidRDefault="005147BF" w:rsidP="005147BF">
      <w:pPr>
        <w:pStyle w:val="ListParagraph"/>
        <w:numPr>
          <w:ilvl w:val="0"/>
          <w:numId w:val="9"/>
        </w:numPr>
        <w:spacing w:after="0" w:line="240" w:lineRule="auto"/>
        <w:ind w:left="360"/>
        <w:rPr>
          <w:rFonts w:asciiTheme="minorHAnsi" w:eastAsiaTheme="minorHAnsi" w:hAnsiTheme="minorHAnsi" w:cstheme="minorBidi"/>
          <w:color w:val="000000" w:themeColor="text1"/>
          <w:sz w:val="22"/>
          <w:szCs w:val="20"/>
        </w:rPr>
      </w:pPr>
      <w:r w:rsidRPr="001F775A">
        <w:rPr>
          <w:rFonts w:asciiTheme="minorHAnsi" w:eastAsiaTheme="minorHAnsi" w:hAnsiTheme="minorHAnsi" w:cstheme="minorBidi"/>
          <w:color w:val="000000" w:themeColor="text1"/>
          <w:sz w:val="22"/>
          <w:szCs w:val="20"/>
        </w:rPr>
        <w:t xml:space="preserve">You make a nondeductible contribution to your traditional IRA. </w:t>
      </w:r>
    </w:p>
    <w:p w14:paraId="55DFAAD5" w14:textId="77777777" w:rsidR="00DA0BC1" w:rsidRPr="001F775A" w:rsidRDefault="00DA0BC1" w:rsidP="00DA0BC1">
      <w:pPr>
        <w:pStyle w:val="ListParagraph"/>
        <w:spacing w:after="0" w:line="240" w:lineRule="auto"/>
        <w:ind w:left="360" w:firstLine="0"/>
        <w:rPr>
          <w:rFonts w:asciiTheme="minorHAnsi" w:eastAsiaTheme="minorHAnsi" w:hAnsiTheme="minorHAnsi" w:cstheme="minorBidi"/>
          <w:color w:val="000000" w:themeColor="text1"/>
          <w:sz w:val="22"/>
          <w:szCs w:val="20"/>
        </w:rPr>
      </w:pPr>
    </w:p>
    <w:p w14:paraId="0C5A16DD" w14:textId="1DA29017" w:rsidR="005147BF" w:rsidRPr="001F775A" w:rsidRDefault="005147BF" w:rsidP="005147BF">
      <w:pPr>
        <w:pStyle w:val="ListParagraph"/>
        <w:numPr>
          <w:ilvl w:val="0"/>
          <w:numId w:val="9"/>
        </w:numPr>
        <w:spacing w:after="0" w:line="240" w:lineRule="auto"/>
        <w:ind w:left="360"/>
        <w:rPr>
          <w:rFonts w:asciiTheme="minorHAnsi" w:eastAsiaTheme="minorHAnsi" w:hAnsiTheme="minorHAnsi" w:cstheme="minorBidi"/>
          <w:color w:val="000000" w:themeColor="text1"/>
          <w:sz w:val="22"/>
          <w:szCs w:val="20"/>
        </w:rPr>
      </w:pPr>
      <w:r w:rsidRPr="001F775A">
        <w:rPr>
          <w:rFonts w:asciiTheme="minorHAnsi" w:eastAsiaTheme="minorHAnsi" w:hAnsiTheme="minorHAnsi" w:cstheme="minorBidi"/>
          <w:color w:val="000000" w:themeColor="text1"/>
          <w:sz w:val="22"/>
          <w:szCs w:val="20"/>
        </w:rPr>
        <w:t>Then, after consulting with your financial or tax profession</w:t>
      </w:r>
      <w:r w:rsidRPr="001F775A">
        <w:rPr>
          <w:rFonts w:asciiTheme="minorHAnsi" w:eastAsiaTheme="minorHAnsi" w:hAnsiTheme="minorHAnsi"/>
          <w:color w:val="000000" w:themeColor="text1"/>
          <w:szCs w:val="20"/>
        </w:rPr>
        <w:t>al, you convert this IRA into a Roth IRA.</w:t>
      </w:r>
      <w:r w:rsidR="009249F1" w:rsidRPr="001F775A">
        <w:rPr>
          <w:rFonts w:asciiTheme="minorHAnsi" w:eastAsiaTheme="minorHAnsi" w:hAnsiTheme="minorHAnsi"/>
          <w:color w:val="000000" w:themeColor="text1"/>
          <w:szCs w:val="20"/>
        </w:rPr>
        <w:br/>
      </w:r>
    </w:p>
    <w:p w14:paraId="772BD6F3" w14:textId="44F3EAB6" w:rsidR="005147BF" w:rsidRPr="00B16D3A" w:rsidRDefault="00A61189" w:rsidP="005147BF">
      <w:pPr>
        <w:spacing w:after="0" w:line="240" w:lineRule="auto"/>
        <w:jc w:val="both"/>
        <w:rPr>
          <w:b/>
          <w:bCs/>
          <w:color w:val="000000" w:themeColor="text1"/>
          <w:szCs w:val="20"/>
        </w:rPr>
      </w:pPr>
      <w:r w:rsidRPr="001F775A">
        <w:rPr>
          <w:color w:val="000000" w:themeColor="text1"/>
          <w:szCs w:val="20"/>
        </w:rPr>
        <w:t>There is</w:t>
      </w:r>
      <w:r w:rsidR="005147BF" w:rsidRPr="001F775A">
        <w:rPr>
          <w:color w:val="000000" w:themeColor="text1"/>
          <w:szCs w:val="20"/>
        </w:rPr>
        <w:t xml:space="preserve"> one big caveat: </w:t>
      </w:r>
      <w:r w:rsidR="00A10202" w:rsidRPr="001F775A">
        <w:rPr>
          <w:color w:val="000000" w:themeColor="text1"/>
          <w:szCs w:val="20"/>
        </w:rPr>
        <w:t>th</w:t>
      </w:r>
      <w:r w:rsidR="00E40EE8" w:rsidRPr="001F775A">
        <w:rPr>
          <w:color w:val="000000" w:themeColor="text1"/>
          <w:szCs w:val="20"/>
        </w:rPr>
        <w:t>is</w:t>
      </w:r>
      <w:r w:rsidR="005147BF" w:rsidRPr="001F775A">
        <w:rPr>
          <w:color w:val="000000" w:themeColor="text1"/>
          <w:szCs w:val="20"/>
        </w:rPr>
        <w:t xml:space="preserve"> strategy may work best tax-wise for people who </w:t>
      </w:r>
      <w:r w:rsidR="009249F1" w:rsidRPr="001F775A">
        <w:rPr>
          <w:color w:val="000000" w:themeColor="text1"/>
          <w:szCs w:val="20"/>
        </w:rPr>
        <w:t>do not</w:t>
      </w:r>
      <w:r w:rsidR="005147BF" w:rsidRPr="001F775A">
        <w:rPr>
          <w:color w:val="000000" w:themeColor="text1"/>
          <w:szCs w:val="20"/>
        </w:rPr>
        <w:t xml:space="preserve"> already have money in traditional IRAs. </w:t>
      </w:r>
      <w:r w:rsidRPr="001F775A">
        <w:rPr>
          <w:color w:val="000000" w:themeColor="text1"/>
          <w:szCs w:val="20"/>
        </w:rPr>
        <w:t>That is</w:t>
      </w:r>
      <w:r w:rsidR="005147BF" w:rsidRPr="001F775A">
        <w:rPr>
          <w:color w:val="000000" w:themeColor="text1"/>
          <w:szCs w:val="20"/>
        </w:rPr>
        <w:t xml:space="preserve"> because in conversions, earnings and previously untaxed contributions in traditional IRAs are taxed—and that tax is figured based on all your traditional IRAs, even ones you </w:t>
      </w:r>
      <w:r w:rsidR="009249F1" w:rsidRPr="001F775A">
        <w:rPr>
          <w:color w:val="000000" w:themeColor="text1"/>
          <w:szCs w:val="20"/>
        </w:rPr>
        <w:t>are not</w:t>
      </w:r>
      <w:r w:rsidR="005147BF" w:rsidRPr="001F775A">
        <w:rPr>
          <w:color w:val="000000" w:themeColor="text1"/>
          <w:szCs w:val="20"/>
        </w:rPr>
        <w:t xml:space="preserve"> converting. </w:t>
      </w:r>
      <w:r w:rsidR="005147BF" w:rsidRPr="00B16D3A">
        <w:rPr>
          <w:b/>
          <w:bCs/>
          <w:color w:val="000000" w:themeColor="text1"/>
          <w:szCs w:val="20"/>
        </w:rPr>
        <w:t>(Please read the section on the Pro Rata Rule.)</w:t>
      </w:r>
    </w:p>
    <w:p w14:paraId="67E23118" w14:textId="07C6C2EF" w:rsidR="005147BF" w:rsidRPr="001F775A" w:rsidRDefault="005147BF" w:rsidP="005147BF">
      <w:pPr>
        <w:spacing w:after="0" w:line="240" w:lineRule="auto"/>
        <w:jc w:val="both"/>
        <w:rPr>
          <w:color w:val="000000" w:themeColor="text1"/>
          <w:szCs w:val="20"/>
        </w:rPr>
      </w:pPr>
    </w:p>
    <w:p w14:paraId="6B8259A1" w14:textId="7FA6C123" w:rsidR="005147BF" w:rsidRPr="001F775A" w:rsidRDefault="005147BF" w:rsidP="005147BF">
      <w:pPr>
        <w:spacing w:after="0" w:line="240" w:lineRule="auto"/>
        <w:jc w:val="both"/>
        <w:rPr>
          <w:color w:val="000000" w:themeColor="text1"/>
          <w:szCs w:val="20"/>
        </w:rPr>
      </w:pPr>
      <w:r w:rsidRPr="001F775A">
        <w:rPr>
          <w:color w:val="000000" w:themeColor="text1"/>
          <w:szCs w:val="20"/>
        </w:rPr>
        <w:t xml:space="preserve">For an investor who </w:t>
      </w:r>
      <w:r w:rsidR="00A61189" w:rsidRPr="001F775A">
        <w:rPr>
          <w:color w:val="000000" w:themeColor="text1"/>
          <w:szCs w:val="20"/>
        </w:rPr>
        <w:t>does not</w:t>
      </w:r>
      <w:r w:rsidRPr="001F775A">
        <w:rPr>
          <w:color w:val="000000" w:themeColor="text1"/>
          <w:szCs w:val="20"/>
        </w:rPr>
        <w:t xml:space="preserve"> already hold any traditional IRAs, creating one and then quickly converting it into a Roth IRA may incur little or no tax, because after a short holding period </w:t>
      </w:r>
      <w:r w:rsidR="009249F1" w:rsidRPr="001F775A">
        <w:rPr>
          <w:color w:val="000000" w:themeColor="text1"/>
          <w:szCs w:val="20"/>
        </w:rPr>
        <w:t>there is</w:t>
      </w:r>
      <w:r w:rsidRPr="001F775A">
        <w:rPr>
          <w:color w:val="000000" w:themeColor="text1"/>
          <w:szCs w:val="20"/>
        </w:rPr>
        <w:t xml:space="preserve"> likely to be little or no appreciation or interest earned in the account.  However, if you already have money in traditional deductible IRAs, you could face a </w:t>
      </w:r>
    </w:p>
    <w:p w14:paraId="209858B5" w14:textId="642EA0CE" w:rsidR="005147BF" w:rsidRPr="001F775A" w:rsidRDefault="005147BF" w:rsidP="005147BF">
      <w:pPr>
        <w:spacing w:after="0" w:line="240" w:lineRule="auto"/>
        <w:jc w:val="both"/>
        <w:rPr>
          <w:color w:val="000000" w:themeColor="text1"/>
          <w:szCs w:val="20"/>
        </w:rPr>
      </w:pPr>
      <w:r w:rsidRPr="001F775A">
        <w:rPr>
          <w:color w:val="000000" w:themeColor="text1"/>
          <w:szCs w:val="20"/>
        </w:rPr>
        <w:t xml:space="preserve">far higher tax bill on the conversion (again, this is covered later in the section on the Pro Rata Rule). </w:t>
      </w:r>
    </w:p>
    <w:p w14:paraId="0F8FEB98" w14:textId="764B6ECF" w:rsidR="005147BF" w:rsidRPr="001F775A" w:rsidRDefault="005147BF" w:rsidP="005147BF">
      <w:pPr>
        <w:spacing w:after="0" w:line="240" w:lineRule="auto"/>
        <w:jc w:val="both"/>
        <w:rPr>
          <w:color w:val="000000" w:themeColor="text1"/>
          <w:sz w:val="18"/>
          <w:szCs w:val="20"/>
        </w:rPr>
      </w:pPr>
    </w:p>
    <w:p w14:paraId="1F4DD444" w14:textId="09088A06" w:rsidR="005147BF" w:rsidRPr="001F775A" w:rsidRDefault="005147BF" w:rsidP="005147BF">
      <w:pPr>
        <w:spacing w:after="0" w:line="240" w:lineRule="auto"/>
        <w:jc w:val="both"/>
        <w:rPr>
          <w:b/>
          <w:color w:val="000000" w:themeColor="text1"/>
        </w:rPr>
      </w:pPr>
      <w:r w:rsidRPr="001F775A">
        <w:rPr>
          <w:b/>
          <w:color w:val="000000" w:themeColor="text1"/>
        </w:rPr>
        <w:t xml:space="preserve">If you choose to attempt a backdoor Roth IRA conversion, please consult a </w:t>
      </w:r>
      <w:r w:rsidR="00E702D3">
        <w:rPr>
          <w:b/>
          <w:color w:val="000000" w:themeColor="text1"/>
        </w:rPr>
        <w:t xml:space="preserve">qualified </w:t>
      </w:r>
      <w:r w:rsidRPr="001F775A">
        <w:rPr>
          <w:b/>
          <w:color w:val="000000" w:themeColor="text1"/>
        </w:rPr>
        <w:t xml:space="preserve">tax planner prior to doing so </w:t>
      </w:r>
      <w:r w:rsidR="00E702D3">
        <w:rPr>
          <w:b/>
          <w:color w:val="000000" w:themeColor="text1"/>
        </w:rPr>
        <w:t>as</w:t>
      </w:r>
      <w:r w:rsidRPr="001F775A">
        <w:rPr>
          <w:b/>
          <w:color w:val="000000" w:themeColor="text1"/>
        </w:rPr>
        <w:t xml:space="preserve"> the rules for Roth conversions can be complicated.</w:t>
      </w:r>
    </w:p>
    <w:p w14:paraId="07D4ECB7" w14:textId="38A46BFA" w:rsidR="005147BF" w:rsidRPr="001F775A" w:rsidRDefault="005147BF" w:rsidP="005147BF">
      <w:pPr>
        <w:spacing w:after="0" w:line="240" w:lineRule="auto"/>
        <w:jc w:val="both"/>
        <w:rPr>
          <w:b/>
          <w:color w:val="000000" w:themeColor="text1"/>
          <w:szCs w:val="20"/>
        </w:rPr>
      </w:pPr>
    </w:p>
    <w:p w14:paraId="0E89E690" w14:textId="77777777"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Example of a Backdoor Roth IRA</w:t>
      </w:r>
    </w:p>
    <w:tbl>
      <w:tblPr>
        <w:tblStyle w:val="ListTable3-Accent11"/>
        <w:tblpPr w:leftFromText="187" w:rightFromText="187" w:vertAnchor="text" w:horzAnchor="margin" w:tblpY="3139"/>
        <w:tblW w:w="530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1892"/>
        <w:gridCol w:w="1454"/>
        <w:gridCol w:w="1954"/>
      </w:tblGrid>
      <w:tr w:rsidR="00E702D3" w:rsidRPr="002A317B" w14:paraId="4983C124" w14:textId="77777777" w:rsidTr="006A3DC8">
        <w:trPr>
          <w:cnfStyle w:val="100000000000" w:firstRow="1" w:lastRow="0" w:firstColumn="0" w:lastColumn="0" w:oddVBand="0" w:evenVBand="0" w:oddHBand="0" w:evenHBand="0" w:firstRowFirstColumn="0" w:firstRowLastColumn="0" w:lastRowFirstColumn="0" w:lastRowLastColumn="0"/>
          <w:trHeight w:val="153"/>
        </w:trPr>
        <w:tc>
          <w:tcPr>
            <w:cnfStyle w:val="001000000100" w:firstRow="0" w:lastRow="0" w:firstColumn="1" w:lastColumn="0" w:oddVBand="0" w:evenVBand="0" w:oddHBand="0" w:evenHBand="0" w:firstRowFirstColumn="1" w:firstRowLastColumn="0" w:lastRowFirstColumn="0" w:lastRowLastColumn="0"/>
            <w:tcW w:w="5300" w:type="dxa"/>
            <w:gridSpan w:val="3"/>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1F3864" w:themeFill="accent1" w:themeFillShade="80"/>
            <w:hideMark/>
          </w:tcPr>
          <w:p w14:paraId="3B9E788E" w14:textId="00D93384" w:rsidR="00E702D3" w:rsidRPr="002A317B" w:rsidRDefault="00E702D3" w:rsidP="006A3DC8">
            <w:pPr>
              <w:jc w:val="center"/>
              <w:rPr>
                <w:rFonts w:eastAsia="Times New Roman" w:cs="Times New Roman"/>
                <w:color w:val="0D0D0D" w:themeColor="text1" w:themeTint="F2"/>
              </w:rPr>
            </w:pPr>
            <w:r>
              <w:rPr>
                <w:rFonts w:eastAsia="Times New Roman" w:cs="Times New Roman"/>
              </w:rPr>
              <w:t>J</w:t>
            </w:r>
            <w:r w:rsidR="009909AB">
              <w:rPr>
                <w:rFonts w:eastAsia="Times New Roman" w:cs="Times New Roman"/>
              </w:rPr>
              <w:t>ill</w:t>
            </w:r>
            <w:r w:rsidRPr="002A317B">
              <w:rPr>
                <w:rFonts w:eastAsia="Times New Roman" w:cs="Times New Roman"/>
              </w:rPr>
              <w:t xml:space="preserve">'s Backdoor Roth IRA Conversion </w:t>
            </w:r>
            <w:r>
              <w:rPr>
                <w:rFonts w:eastAsia="Times New Roman" w:cs="Times New Roman"/>
              </w:rPr>
              <w:br/>
            </w:r>
            <w:r>
              <w:rPr>
                <w:rFonts w:eastAsia="Times New Roman" w:cs="Times New Roman"/>
                <w:sz w:val="18"/>
                <w:szCs w:val="18"/>
              </w:rPr>
              <w:t>(</w:t>
            </w:r>
            <w:r w:rsidRPr="00E702D3">
              <w:rPr>
                <w:rFonts w:eastAsia="Times New Roman" w:cs="Times New Roman"/>
                <w:sz w:val="18"/>
                <w:szCs w:val="18"/>
              </w:rPr>
              <w:t>without Additional IRAs</w:t>
            </w:r>
            <w:r>
              <w:rPr>
                <w:rFonts w:eastAsia="Times New Roman" w:cs="Times New Roman"/>
                <w:sz w:val="18"/>
                <w:szCs w:val="18"/>
              </w:rPr>
              <w:t>)</w:t>
            </w:r>
          </w:p>
        </w:tc>
      </w:tr>
      <w:tr w:rsidR="00E702D3" w14:paraId="6B5032B1" w14:textId="77777777" w:rsidTr="006A3DC8">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892" w:type="dxa"/>
            <w:tcBorders>
              <w:left w:val="single" w:sz="8" w:space="0" w:color="4472C4" w:themeColor="accent1"/>
            </w:tcBorders>
            <w:shd w:val="clear" w:color="auto" w:fill="EDEDED" w:themeFill="accent3" w:themeFillTint="33"/>
            <w:hideMark/>
          </w:tcPr>
          <w:p w14:paraId="5E956EF3" w14:textId="1A865381" w:rsidR="00E702D3" w:rsidRPr="002A317B" w:rsidRDefault="00E702D3" w:rsidP="006A3DC8">
            <w:pPr>
              <w:jc w:val="center"/>
              <w:rPr>
                <w:rFonts w:eastAsia="Times New Roman" w:cs="Times New Roman"/>
                <w:color w:val="0D0D0D" w:themeColor="text1" w:themeTint="F2"/>
                <w:sz w:val="18"/>
                <w:szCs w:val="18"/>
              </w:rPr>
            </w:pPr>
            <w:r w:rsidRPr="002A317B">
              <w:rPr>
                <w:rFonts w:eastAsia="Times New Roman" w:cs="Times New Roman"/>
                <w:color w:val="0D0D0D" w:themeColor="text1" w:themeTint="F2"/>
                <w:sz w:val="18"/>
                <w:szCs w:val="18"/>
              </w:rPr>
              <w:t xml:space="preserve">Contribution to </w:t>
            </w:r>
            <w:r w:rsidRPr="002A317B">
              <w:rPr>
                <w:rFonts w:eastAsia="Times New Roman" w:cs="Times New Roman"/>
                <w:color w:val="0D0D0D" w:themeColor="text1" w:themeTint="F2"/>
                <w:sz w:val="18"/>
                <w:szCs w:val="18"/>
              </w:rPr>
              <w:br/>
            </w:r>
            <w:r w:rsidR="009D6405" w:rsidRPr="002A317B">
              <w:rPr>
                <w:rFonts w:eastAsia="Times New Roman" w:cs="Times New Roman"/>
                <w:color w:val="0D0D0D" w:themeColor="text1" w:themeTint="F2"/>
                <w:sz w:val="18"/>
                <w:szCs w:val="18"/>
              </w:rPr>
              <w:t>non-deductible</w:t>
            </w:r>
            <w:r w:rsidRPr="002A317B">
              <w:rPr>
                <w:rFonts w:eastAsia="Times New Roman" w:cs="Times New Roman"/>
                <w:color w:val="0D0D0D" w:themeColor="text1" w:themeTint="F2"/>
                <w:sz w:val="18"/>
                <w:szCs w:val="18"/>
              </w:rPr>
              <w:t xml:space="preserve"> traditional IRA</w:t>
            </w:r>
          </w:p>
        </w:tc>
        <w:tc>
          <w:tcPr>
            <w:tcW w:w="1454" w:type="dxa"/>
            <w:tcBorders>
              <w:left w:val="single" w:sz="8" w:space="0" w:color="4472C4" w:themeColor="accent1"/>
              <w:right w:val="single" w:sz="8" w:space="0" w:color="4472C4" w:themeColor="accent1"/>
            </w:tcBorders>
            <w:shd w:val="clear" w:color="auto" w:fill="EDEDED" w:themeFill="accent3" w:themeFillTint="33"/>
            <w:hideMark/>
          </w:tcPr>
          <w:p w14:paraId="25CE3732" w14:textId="77777777" w:rsidR="00E702D3" w:rsidRPr="002A317B"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2A317B">
              <w:rPr>
                <w:rFonts w:eastAsia="Times New Roman" w:cs="Times New Roman"/>
                <w:b/>
                <w:color w:val="0D0D0D" w:themeColor="text1" w:themeTint="F2"/>
                <w:sz w:val="18"/>
                <w:szCs w:val="18"/>
              </w:rPr>
              <w:t>Convert to Roth IRA</w:t>
            </w:r>
          </w:p>
        </w:tc>
        <w:tc>
          <w:tcPr>
            <w:tcW w:w="1954" w:type="dxa"/>
            <w:tcBorders>
              <w:left w:val="single" w:sz="8" w:space="0" w:color="4472C4" w:themeColor="accent1"/>
              <w:right w:val="single" w:sz="8" w:space="0" w:color="4472C4" w:themeColor="accent1"/>
            </w:tcBorders>
            <w:shd w:val="clear" w:color="auto" w:fill="EDEDED" w:themeFill="accent3" w:themeFillTint="33"/>
            <w:hideMark/>
          </w:tcPr>
          <w:p w14:paraId="7328479C" w14:textId="77777777" w:rsidR="00E702D3" w:rsidRPr="002A317B"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2A317B">
              <w:rPr>
                <w:rFonts w:eastAsia="Times New Roman" w:cs="Times New Roman"/>
                <w:b/>
                <w:color w:val="0D0D0D" w:themeColor="text1" w:themeTint="F2"/>
                <w:sz w:val="18"/>
                <w:szCs w:val="18"/>
              </w:rPr>
              <w:t>Income Subject to Taxation</w:t>
            </w:r>
          </w:p>
        </w:tc>
      </w:tr>
      <w:tr w:rsidR="00E702D3" w14:paraId="3A7DB952" w14:textId="77777777" w:rsidTr="006A3DC8">
        <w:trPr>
          <w:trHeight w:val="348"/>
        </w:trPr>
        <w:tc>
          <w:tcPr>
            <w:cnfStyle w:val="001000000000" w:firstRow="0" w:lastRow="0" w:firstColumn="1" w:lastColumn="0" w:oddVBand="0" w:evenVBand="0" w:oddHBand="0" w:evenHBand="0" w:firstRowFirstColumn="0" w:firstRowLastColumn="0" w:lastRowFirstColumn="0" w:lastRowLastColumn="0"/>
            <w:tcW w:w="1892" w:type="dxa"/>
            <w:tcBorders>
              <w:top w:val="single" w:sz="8" w:space="0" w:color="4472C4" w:themeColor="accent1"/>
              <w:left w:val="single" w:sz="8" w:space="0" w:color="4472C4" w:themeColor="accent1"/>
              <w:bottom w:val="single" w:sz="8" w:space="0" w:color="4472C4" w:themeColor="accent1"/>
            </w:tcBorders>
            <w:vAlign w:val="center"/>
            <w:hideMark/>
          </w:tcPr>
          <w:p w14:paraId="7EB5966D" w14:textId="76BF7968" w:rsidR="00E702D3" w:rsidRPr="001F775A" w:rsidRDefault="00E702D3" w:rsidP="006A3DC8">
            <w:pPr>
              <w:jc w:val="center"/>
              <w:rPr>
                <w:rFonts w:eastAsia="Times New Roman" w:cs="Times New Roman"/>
                <w:color w:val="7030A0"/>
                <w:sz w:val="24"/>
                <w:szCs w:val="28"/>
              </w:rPr>
            </w:pPr>
            <w:r w:rsidRPr="001F775A">
              <w:rPr>
                <w:rFonts w:eastAsia="Times New Roman" w:cs="Times New Roman"/>
                <w:color w:val="7030A0"/>
                <w:sz w:val="24"/>
                <w:szCs w:val="28"/>
              </w:rPr>
              <w:t>$</w:t>
            </w:r>
            <w:r w:rsidR="009909AB">
              <w:rPr>
                <w:rFonts w:eastAsia="Times New Roman" w:cs="Times New Roman"/>
                <w:color w:val="7030A0"/>
                <w:sz w:val="24"/>
                <w:szCs w:val="28"/>
              </w:rPr>
              <w:t>7</w:t>
            </w:r>
            <w:r w:rsidRPr="001F775A">
              <w:rPr>
                <w:rFonts w:eastAsia="Times New Roman" w:cs="Times New Roman"/>
                <w:color w:val="7030A0"/>
                <w:sz w:val="24"/>
                <w:szCs w:val="28"/>
              </w:rPr>
              <w:t>,</w:t>
            </w:r>
            <w:r w:rsidR="009909AB">
              <w:rPr>
                <w:rFonts w:eastAsia="Times New Roman" w:cs="Times New Roman"/>
                <w:color w:val="7030A0"/>
                <w:sz w:val="24"/>
                <w:szCs w:val="28"/>
              </w:rPr>
              <w:t>0</w:t>
            </w:r>
            <w:r w:rsidRPr="001F775A">
              <w:rPr>
                <w:rFonts w:eastAsia="Times New Roman" w:cs="Times New Roman"/>
                <w:color w:val="7030A0"/>
                <w:sz w:val="24"/>
                <w:szCs w:val="28"/>
              </w:rPr>
              <w:t>00</w:t>
            </w:r>
          </w:p>
        </w:tc>
        <w:tc>
          <w:tcPr>
            <w:tcW w:w="145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1758C39E" w14:textId="76681AC0" w:rsidR="00E702D3" w:rsidRPr="001F775A" w:rsidRDefault="00E702D3" w:rsidP="006A3DC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030A0"/>
                <w:sz w:val="24"/>
                <w:szCs w:val="28"/>
              </w:rPr>
            </w:pPr>
            <w:r w:rsidRPr="001F775A">
              <w:rPr>
                <w:rFonts w:eastAsia="Times New Roman" w:cs="Times New Roman"/>
                <w:b/>
                <w:color w:val="7030A0"/>
                <w:sz w:val="24"/>
                <w:szCs w:val="28"/>
              </w:rPr>
              <w:t>$</w:t>
            </w:r>
            <w:r w:rsidR="009909AB">
              <w:rPr>
                <w:rFonts w:eastAsia="Times New Roman" w:cs="Times New Roman"/>
                <w:b/>
                <w:color w:val="7030A0"/>
                <w:sz w:val="24"/>
                <w:szCs w:val="28"/>
              </w:rPr>
              <w:t>7</w:t>
            </w:r>
            <w:r w:rsidRPr="001F775A">
              <w:rPr>
                <w:rFonts w:eastAsia="Times New Roman" w:cs="Times New Roman"/>
                <w:b/>
                <w:color w:val="7030A0"/>
                <w:sz w:val="24"/>
                <w:szCs w:val="28"/>
              </w:rPr>
              <w:t>,</w:t>
            </w:r>
            <w:r w:rsidR="009909AB">
              <w:rPr>
                <w:rFonts w:eastAsia="Times New Roman" w:cs="Times New Roman"/>
                <w:b/>
                <w:color w:val="7030A0"/>
                <w:sz w:val="24"/>
                <w:szCs w:val="28"/>
              </w:rPr>
              <w:t>0</w:t>
            </w:r>
            <w:r w:rsidRPr="001F775A">
              <w:rPr>
                <w:rFonts w:eastAsia="Times New Roman" w:cs="Times New Roman"/>
                <w:b/>
                <w:color w:val="7030A0"/>
                <w:sz w:val="24"/>
                <w:szCs w:val="28"/>
              </w:rPr>
              <w:t>00</w:t>
            </w:r>
          </w:p>
        </w:tc>
        <w:tc>
          <w:tcPr>
            <w:tcW w:w="195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43554D27" w14:textId="77777777" w:rsidR="00E702D3" w:rsidRDefault="00E702D3" w:rsidP="006A3DC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24"/>
                <w:szCs w:val="28"/>
              </w:rPr>
            </w:pPr>
            <w:r w:rsidRPr="00BD0D4D">
              <w:rPr>
                <w:rFonts w:eastAsia="Times New Roman" w:cs="Times New Roman"/>
                <w:b/>
                <w:color w:val="00B050"/>
                <w:sz w:val="24"/>
                <w:szCs w:val="28"/>
              </w:rPr>
              <w:t>$0</w:t>
            </w:r>
          </w:p>
        </w:tc>
      </w:tr>
      <w:tr w:rsidR="00E702D3" w14:paraId="70C74C8F" w14:textId="77777777" w:rsidTr="00B23E6C">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300" w:type="dxa"/>
            <w:gridSpan w:val="3"/>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43B44B3" w14:textId="77777777" w:rsidR="00E702D3" w:rsidRPr="00D62C61" w:rsidRDefault="00E702D3" w:rsidP="006A3DC8">
            <w:pPr>
              <w:jc w:val="center"/>
              <w:rPr>
                <w:rFonts w:ascii="Times New Roman" w:eastAsia="Times New Roman" w:hAnsi="Times New Roman" w:cs="Times New Roman"/>
                <w:b w:val="0"/>
                <w:bCs w:val="0"/>
                <w:color w:val="767171" w:themeColor="background2" w:themeShade="80"/>
                <w:sz w:val="18"/>
                <w:szCs w:val="20"/>
              </w:rPr>
            </w:pPr>
            <w:r w:rsidRPr="00E702D3">
              <w:rPr>
                <w:rFonts w:ascii="Times New Roman" w:eastAsia="Times New Roman" w:hAnsi="Times New Roman" w:cs="Times New Roman"/>
                <w:b w:val="0"/>
                <w:bCs w:val="0"/>
                <w:i/>
                <w:iCs/>
                <w:color w:val="767171" w:themeColor="background2" w:themeShade="80"/>
                <w:sz w:val="16"/>
                <w:szCs w:val="18"/>
              </w:rPr>
              <w:t>This is a hypothetical example and is not representative of any specific investment. Your results may vary.</w:t>
            </w:r>
          </w:p>
        </w:tc>
      </w:tr>
    </w:tbl>
    <w:p w14:paraId="072B2926" w14:textId="00A97DEE" w:rsidR="00636824" w:rsidRPr="00DA0BC1" w:rsidRDefault="00654A42" w:rsidP="006A3DC8">
      <w:pPr>
        <w:spacing w:after="0" w:line="240" w:lineRule="auto"/>
        <w:jc w:val="both"/>
        <w:rPr>
          <w:color w:val="000000" w:themeColor="text1"/>
          <w:szCs w:val="20"/>
        </w:rPr>
      </w:pPr>
      <w:r>
        <w:rPr>
          <w:color w:val="000000" w:themeColor="text1"/>
          <w:sz w:val="8"/>
          <w:szCs w:val="8"/>
        </w:rPr>
        <w:br/>
      </w:r>
      <w:r w:rsidR="00B16D3A" w:rsidRPr="00654A42">
        <w:rPr>
          <w:color w:val="000000" w:themeColor="text1"/>
          <w:szCs w:val="20"/>
        </w:rPr>
        <w:t>J</w:t>
      </w:r>
      <w:r w:rsidR="009909AB">
        <w:rPr>
          <w:color w:val="000000" w:themeColor="text1"/>
          <w:szCs w:val="20"/>
        </w:rPr>
        <w:t>ill</w:t>
      </w:r>
      <w:r w:rsidR="00A61189" w:rsidRPr="00654A42">
        <w:rPr>
          <w:color w:val="000000" w:themeColor="text1"/>
          <w:szCs w:val="20"/>
        </w:rPr>
        <w:t>,</w:t>
      </w:r>
      <w:r w:rsidR="005147BF" w:rsidRPr="00654A42">
        <w:rPr>
          <w:color w:val="000000" w:themeColor="text1"/>
          <w:szCs w:val="20"/>
        </w:rPr>
        <w:t xml:space="preserve"> a high-income earner, decides on January 2nd to put $</w:t>
      </w:r>
      <w:r w:rsidR="009909AB">
        <w:rPr>
          <w:color w:val="000000" w:themeColor="text1"/>
          <w:szCs w:val="20"/>
        </w:rPr>
        <w:t>7</w:t>
      </w:r>
      <w:r w:rsidR="005147BF" w:rsidRPr="00654A42">
        <w:rPr>
          <w:color w:val="000000" w:themeColor="text1"/>
          <w:szCs w:val="20"/>
        </w:rPr>
        <w:t>,</w:t>
      </w:r>
      <w:r w:rsidR="009909AB">
        <w:rPr>
          <w:color w:val="000000" w:themeColor="text1"/>
          <w:szCs w:val="20"/>
        </w:rPr>
        <w:t>0</w:t>
      </w:r>
      <w:r w:rsidR="005147BF" w:rsidRPr="00654A42">
        <w:rPr>
          <w:color w:val="000000" w:themeColor="text1"/>
          <w:szCs w:val="20"/>
        </w:rPr>
        <w:t xml:space="preserve">00 into a traditional IRA.  </w:t>
      </w:r>
      <w:r w:rsidR="00B16D3A">
        <w:rPr>
          <w:color w:val="000000" w:themeColor="text1"/>
          <w:szCs w:val="20"/>
        </w:rPr>
        <w:t>J</w:t>
      </w:r>
      <w:r w:rsidR="009909AB">
        <w:rPr>
          <w:color w:val="000000" w:themeColor="text1"/>
          <w:szCs w:val="20"/>
        </w:rPr>
        <w:t>ill</w:t>
      </w:r>
      <w:r w:rsidR="005147BF" w:rsidRPr="00601263">
        <w:rPr>
          <w:color w:val="000000" w:themeColor="text1"/>
          <w:szCs w:val="20"/>
        </w:rPr>
        <w:t>'s income is too high to be able to deduct these contributions from h</w:t>
      </w:r>
      <w:r w:rsidR="006A3DC8">
        <w:rPr>
          <w:color w:val="000000" w:themeColor="text1"/>
          <w:szCs w:val="20"/>
        </w:rPr>
        <w:t>er</w:t>
      </w:r>
      <w:r w:rsidR="005147BF" w:rsidRPr="00601263">
        <w:rPr>
          <w:color w:val="000000" w:themeColor="text1"/>
          <w:szCs w:val="20"/>
        </w:rPr>
        <w:t xml:space="preserve"> taxes. After consulting with </w:t>
      </w:r>
      <w:r w:rsidR="006A3DC8">
        <w:rPr>
          <w:color w:val="000000" w:themeColor="text1"/>
          <w:szCs w:val="20"/>
        </w:rPr>
        <w:t>a</w:t>
      </w:r>
      <w:r w:rsidR="005147BF" w:rsidRPr="00601263">
        <w:rPr>
          <w:color w:val="000000" w:themeColor="text1"/>
          <w:szCs w:val="20"/>
        </w:rPr>
        <w:t xml:space="preserve"> financial </w:t>
      </w:r>
      <w:r w:rsidR="00C80E0C" w:rsidRPr="00601263">
        <w:rPr>
          <w:color w:val="000000" w:themeColor="text1"/>
          <w:szCs w:val="20"/>
        </w:rPr>
        <w:t xml:space="preserve">professional </w:t>
      </w:r>
      <w:r w:rsidR="005147BF" w:rsidRPr="00601263">
        <w:rPr>
          <w:color w:val="000000" w:themeColor="text1"/>
          <w:szCs w:val="20"/>
        </w:rPr>
        <w:t>or tax advisor,</w:t>
      </w:r>
      <w:r w:rsidR="00B23E6C">
        <w:rPr>
          <w:color w:val="000000" w:themeColor="text1"/>
          <w:szCs w:val="20"/>
        </w:rPr>
        <w:t xml:space="preserve"> </w:t>
      </w:r>
      <w:r w:rsidR="006A3DC8">
        <w:rPr>
          <w:color w:val="000000" w:themeColor="text1"/>
          <w:szCs w:val="20"/>
        </w:rPr>
        <w:t>s</w:t>
      </w:r>
      <w:r w:rsidR="005147BF" w:rsidRPr="00601263">
        <w:rPr>
          <w:color w:val="000000" w:themeColor="text1"/>
          <w:szCs w:val="20"/>
        </w:rPr>
        <w:t xml:space="preserve">he </w:t>
      </w:r>
      <w:r w:rsidR="00B23E6C">
        <w:rPr>
          <w:color w:val="000000" w:themeColor="text1"/>
          <w:szCs w:val="20"/>
        </w:rPr>
        <w:t xml:space="preserve">has no other IRAs and </w:t>
      </w:r>
      <w:r w:rsidR="005147BF" w:rsidRPr="00601263">
        <w:rPr>
          <w:color w:val="000000" w:themeColor="text1"/>
          <w:szCs w:val="20"/>
        </w:rPr>
        <w:t>then converts the traditional IRAs to Roth IRAs completely tax-free. H</w:t>
      </w:r>
      <w:r w:rsidR="006A3DC8">
        <w:rPr>
          <w:color w:val="000000" w:themeColor="text1"/>
          <w:szCs w:val="20"/>
        </w:rPr>
        <w:t>er</w:t>
      </w:r>
      <w:r w:rsidR="005147BF" w:rsidRPr="00601263">
        <w:rPr>
          <w:color w:val="000000" w:themeColor="text1"/>
          <w:szCs w:val="20"/>
        </w:rPr>
        <w:t xml:space="preserve"> income is too hig</w:t>
      </w:r>
      <w:r w:rsidR="006A3DC8">
        <w:rPr>
          <w:color w:val="000000" w:themeColor="text1"/>
          <w:szCs w:val="20"/>
        </w:rPr>
        <w:t>h</w:t>
      </w:r>
      <w:r w:rsidR="005147BF" w:rsidRPr="00601263">
        <w:rPr>
          <w:color w:val="000000" w:themeColor="text1"/>
          <w:szCs w:val="20"/>
        </w:rPr>
        <w:t xml:space="preserve"> to make a direct contribution into a Roth IRA, but </w:t>
      </w:r>
      <w:r w:rsidR="005B3893" w:rsidRPr="00601263">
        <w:rPr>
          <w:color w:val="000000" w:themeColor="text1"/>
          <w:szCs w:val="20"/>
        </w:rPr>
        <w:t>there is</w:t>
      </w:r>
      <w:r w:rsidR="005147BF" w:rsidRPr="00601263">
        <w:rPr>
          <w:color w:val="000000" w:themeColor="text1"/>
          <w:szCs w:val="20"/>
        </w:rPr>
        <w:t xml:space="preserve"> no income limit on conversions. Since </w:t>
      </w:r>
      <w:r w:rsidR="00A61189" w:rsidRPr="00601263">
        <w:rPr>
          <w:color w:val="000000" w:themeColor="text1"/>
          <w:szCs w:val="20"/>
        </w:rPr>
        <w:t>J</w:t>
      </w:r>
      <w:r w:rsidR="009909AB">
        <w:rPr>
          <w:color w:val="000000" w:themeColor="text1"/>
          <w:szCs w:val="20"/>
        </w:rPr>
        <w:t>ill</w:t>
      </w:r>
      <w:r w:rsidR="005147BF" w:rsidRPr="00601263">
        <w:rPr>
          <w:color w:val="000000" w:themeColor="text1"/>
          <w:szCs w:val="20"/>
        </w:rPr>
        <w:t xml:space="preserve"> </w:t>
      </w:r>
      <w:r w:rsidR="005B3893" w:rsidRPr="00601263">
        <w:rPr>
          <w:color w:val="000000" w:themeColor="text1"/>
          <w:szCs w:val="20"/>
        </w:rPr>
        <w:t>could not</w:t>
      </w:r>
      <w:r w:rsidR="005147BF" w:rsidRPr="00601263">
        <w:rPr>
          <w:color w:val="000000" w:themeColor="text1"/>
          <w:szCs w:val="20"/>
        </w:rPr>
        <w:t xml:space="preserve"> deduct the contribution anyway, </w:t>
      </w:r>
      <w:r w:rsidR="00B23E6C">
        <w:rPr>
          <w:color w:val="000000" w:themeColor="text1"/>
          <w:szCs w:val="20"/>
        </w:rPr>
        <w:t>s</w:t>
      </w:r>
      <w:r w:rsidR="005147BF" w:rsidRPr="00601263">
        <w:rPr>
          <w:color w:val="000000" w:themeColor="text1"/>
          <w:szCs w:val="20"/>
        </w:rPr>
        <w:t>he might as well get the advantage of never paying taxes on that money again available through the Roth IRA.</w:t>
      </w:r>
    </w:p>
    <w:p w14:paraId="764B1070" w14:textId="0150D10E"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 xml:space="preserve">Beware of the Pro Rata Rule </w:t>
      </w:r>
      <w:r w:rsidR="00DA0BC1">
        <w:rPr>
          <w:rFonts w:cstheme="minorHAnsi"/>
          <w:b/>
          <w:color w:val="FFFFFF" w:themeColor="background1"/>
          <w:sz w:val="28"/>
          <w:szCs w:val="28"/>
          <w14:shadow w14:blurRad="50800" w14:dist="38100" w14:dir="2700000" w14:sx="100000" w14:sy="100000" w14:kx="0" w14:ky="0" w14:algn="tl">
            <w14:srgbClr w14:val="000000">
              <w14:alpha w14:val="60000"/>
            </w14:srgbClr>
          </w14:shadow>
        </w:rPr>
        <w:br/>
      </w: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for Roth Conversions</w:t>
      </w:r>
    </w:p>
    <w:p w14:paraId="38C29C90" w14:textId="527C922A" w:rsidR="005147BF" w:rsidRPr="001F775A" w:rsidRDefault="00654A42" w:rsidP="005147BF">
      <w:pPr>
        <w:spacing w:after="0" w:line="240" w:lineRule="auto"/>
        <w:jc w:val="both"/>
        <w:rPr>
          <w:color w:val="000000" w:themeColor="text1"/>
          <w:szCs w:val="20"/>
        </w:rPr>
      </w:pPr>
      <w:r>
        <w:rPr>
          <w:color w:val="000000" w:themeColor="text1"/>
          <w:sz w:val="8"/>
          <w:szCs w:val="8"/>
        </w:rPr>
        <w:br/>
      </w:r>
      <w:r w:rsidR="005147BF" w:rsidRPr="001F775A">
        <w:rPr>
          <w:color w:val="000000" w:themeColor="text1"/>
          <w:szCs w:val="20"/>
        </w:rPr>
        <w:t>The Pro Rata rule for Roth conversions states that if you have any other deductible IRAs (</w:t>
      </w:r>
      <w:r w:rsidR="009249F1" w:rsidRPr="001F775A">
        <w:rPr>
          <w:color w:val="000000" w:themeColor="text1"/>
          <w:szCs w:val="20"/>
        </w:rPr>
        <w:t>i.e.,</w:t>
      </w:r>
      <w:r w:rsidR="005147BF" w:rsidRPr="001F775A">
        <w:rPr>
          <w:color w:val="000000" w:themeColor="text1"/>
          <w:szCs w:val="20"/>
        </w:rPr>
        <w:t xml:space="preserve"> a previous 401k that </w:t>
      </w:r>
      <w:r w:rsidR="009249F1" w:rsidRPr="001F775A">
        <w:rPr>
          <w:color w:val="000000" w:themeColor="text1"/>
          <w:szCs w:val="20"/>
        </w:rPr>
        <w:t>you have</w:t>
      </w:r>
      <w:r w:rsidR="005147BF" w:rsidRPr="001F775A">
        <w:rPr>
          <w:color w:val="000000" w:themeColor="text1"/>
          <w:szCs w:val="20"/>
        </w:rPr>
        <w:t xml:space="preserve"> rolled over), the conversion of any contributions becomes a taxable event that </w:t>
      </w:r>
      <w:r w:rsidR="0090591F" w:rsidRPr="001F775A">
        <w:rPr>
          <w:color w:val="000000" w:themeColor="text1"/>
          <w:szCs w:val="20"/>
        </w:rPr>
        <w:t>you will</w:t>
      </w:r>
      <w:r w:rsidR="005147BF" w:rsidRPr="001F775A">
        <w:rPr>
          <w:color w:val="000000" w:themeColor="text1"/>
          <w:szCs w:val="20"/>
        </w:rPr>
        <w:t xml:space="preserve"> need to pay taxes on upfront. </w:t>
      </w:r>
    </w:p>
    <w:p w14:paraId="4F1394F7" w14:textId="77777777" w:rsidR="005B3893" w:rsidRPr="001F775A" w:rsidRDefault="005B3893" w:rsidP="005147BF">
      <w:pPr>
        <w:spacing w:after="0" w:line="240" w:lineRule="auto"/>
        <w:jc w:val="both"/>
        <w:rPr>
          <w:color w:val="000000" w:themeColor="text1"/>
          <w:szCs w:val="20"/>
        </w:rPr>
      </w:pPr>
    </w:p>
    <w:p w14:paraId="33153088" w14:textId="77777777" w:rsidR="005147BF" w:rsidRPr="001F775A" w:rsidRDefault="005147BF" w:rsidP="005147BF">
      <w:pPr>
        <w:spacing w:after="0" w:line="240" w:lineRule="auto"/>
        <w:jc w:val="both"/>
        <w:rPr>
          <w:color w:val="000000" w:themeColor="text1"/>
          <w:szCs w:val="20"/>
        </w:rPr>
      </w:pPr>
      <w:r w:rsidRPr="001F775A">
        <w:rPr>
          <w:color w:val="000000" w:themeColor="text1"/>
          <w:szCs w:val="20"/>
        </w:rPr>
        <w:t xml:space="preserve">The Pro Rata rule for Roth conversions determines whether your conversion will be taxable. For taxation purposes, the IRS will look at your entire IRA holdings (even if they are in different accounts), not just the traditional IRA you are converting to a Roth IRA and will determine what your tax bill will be based upon a ratio of IRA assets that have already been taxed to those IRA assets in total. </w:t>
      </w:r>
    </w:p>
    <w:p w14:paraId="4EF3B1FD" w14:textId="77777777" w:rsidR="005147BF" w:rsidRPr="0029590C" w:rsidRDefault="005147BF" w:rsidP="005147BF">
      <w:pPr>
        <w:spacing w:after="0" w:line="240" w:lineRule="auto"/>
        <w:jc w:val="both"/>
        <w:rPr>
          <w:color w:val="2E74B5" w:themeColor="accent5" w:themeShade="BF"/>
          <w:sz w:val="20"/>
          <w:szCs w:val="20"/>
        </w:rPr>
      </w:pPr>
    </w:p>
    <w:tbl>
      <w:tblPr>
        <w:tblStyle w:val="ListTable3-Accent11"/>
        <w:tblpPr w:leftFromText="187" w:rightFromText="187" w:topFromText="58" w:bottomFromText="58" w:vertAnchor="text" w:horzAnchor="margin" w:tblpXSpec="right" w:tblpY="3870"/>
        <w:tblW w:w="5235"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Look w:val="04A0" w:firstRow="1" w:lastRow="0" w:firstColumn="1" w:lastColumn="0" w:noHBand="0" w:noVBand="1"/>
      </w:tblPr>
      <w:tblGrid>
        <w:gridCol w:w="1520"/>
        <w:gridCol w:w="1530"/>
        <w:gridCol w:w="900"/>
        <w:gridCol w:w="1285"/>
      </w:tblGrid>
      <w:tr w:rsidR="00E702D3" w:rsidRPr="00E702D3" w14:paraId="0EC3E942" w14:textId="77777777" w:rsidTr="006A3DC8">
        <w:trPr>
          <w:cnfStyle w:val="100000000000" w:firstRow="1" w:lastRow="0" w:firstColumn="0" w:lastColumn="0" w:oddVBand="0" w:evenVBand="0" w:oddHBand="0" w:evenHBand="0" w:firstRowFirstColumn="0" w:firstRowLastColumn="0" w:lastRowFirstColumn="0" w:lastRowLastColumn="0"/>
          <w:trHeight w:val="76"/>
        </w:trPr>
        <w:tc>
          <w:tcPr>
            <w:cnfStyle w:val="001000000100" w:firstRow="0" w:lastRow="0" w:firstColumn="1" w:lastColumn="0" w:oddVBand="0" w:evenVBand="0" w:oddHBand="0" w:evenHBand="0" w:firstRowFirstColumn="1" w:firstRowLastColumn="0" w:lastRowFirstColumn="0" w:lastRowLastColumn="0"/>
            <w:tcW w:w="5235" w:type="dxa"/>
            <w:gridSpan w:val="4"/>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1F3864" w:themeFill="accent1" w:themeFillShade="80"/>
            <w:hideMark/>
          </w:tcPr>
          <w:p w14:paraId="7DF3D875" w14:textId="08FDA4DA" w:rsidR="00E702D3" w:rsidRPr="00E702D3" w:rsidRDefault="009909AB" w:rsidP="002E6A32">
            <w:pPr>
              <w:jc w:val="center"/>
              <w:rPr>
                <w:szCs w:val="20"/>
              </w:rPr>
            </w:pPr>
            <w:r>
              <w:rPr>
                <w:sz w:val="24"/>
                <w:szCs w:val="20"/>
              </w:rPr>
              <w:t>Sam</w:t>
            </w:r>
            <w:r w:rsidR="00E702D3" w:rsidRPr="00E702D3">
              <w:rPr>
                <w:sz w:val="24"/>
                <w:szCs w:val="20"/>
              </w:rPr>
              <w:t>'s Backdoor Roth IRA Conversion</w:t>
            </w:r>
          </w:p>
        </w:tc>
      </w:tr>
      <w:tr w:rsidR="00E702D3" w:rsidRPr="0029590C" w14:paraId="71956997" w14:textId="77777777" w:rsidTr="00B23E6C">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20" w:type="dxa"/>
            <w:tcBorders>
              <w:left w:val="single" w:sz="8" w:space="0" w:color="4472C4" w:themeColor="accent1"/>
            </w:tcBorders>
            <w:shd w:val="clear" w:color="auto" w:fill="EDEDED" w:themeFill="accent3" w:themeFillTint="33"/>
            <w:hideMark/>
          </w:tcPr>
          <w:p w14:paraId="571739DF" w14:textId="780619AA" w:rsidR="00095FA5" w:rsidRDefault="00095FA5" w:rsidP="006A3DC8">
            <w:pPr>
              <w:jc w:val="center"/>
              <w:rPr>
                <w:rFonts w:eastAsia="Times New Roman" w:cs="Times New Roman"/>
                <w:b w:val="0"/>
                <w:color w:val="0D0D0D" w:themeColor="text1" w:themeTint="F2"/>
                <w:sz w:val="18"/>
                <w:szCs w:val="18"/>
              </w:rPr>
            </w:pPr>
            <w:r>
              <w:rPr>
                <w:rFonts w:eastAsia="Times New Roman" w:cs="Times New Roman"/>
                <w:bCs w:val="0"/>
                <w:color w:val="0D0D0D" w:themeColor="text1" w:themeTint="F2"/>
                <w:sz w:val="18"/>
                <w:szCs w:val="18"/>
              </w:rPr>
              <w:t>Prior</w:t>
            </w:r>
            <w:r w:rsidR="00B23E6C">
              <w:rPr>
                <w:rFonts w:eastAsia="Times New Roman" w:cs="Times New Roman"/>
                <w:bCs w:val="0"/>
                <w:color w:val="0D0D0D" w:themeColor="text1" w:themeTint="F2"/>
                <w:sz w:val="18"/>
                <w:szCs w:val="18"/>
              </w:rPr>
              <w:t xml:space="preserve"> Non-Taxed</w:t>
            </w:r>
          </w:p>
          <w:p w14:paraId="0CD83A0F" w14:textId="2E8FA0C4" w:rsidR="00E702D3" w:rsidRPr="00E702D3" w:rsidRDefault="00E702D3" w:rsidP="006A3DC8">
            <w:pPr>
              <w:jc w:val="center"/>
              <w:rPr>
                <w:rFonts w:eastAsia="Times New Roman" w:cs="Times New Roman"/>
                <w:bCs w:val="0"/>
                <w:color w:val="0D0D0D" w:themeColor="text1" w:themeTint="F2"/>
                <w:sz w:val="18"/>
                <w:szCs w:val="18"/>
              </w:rPr>
            </w:pPr>
            <w:r w:rsidRPr="00E702D3">
              <w:rPr>
                <w:rFonts w:eastAsia="Times New Roman" w:cs="Times New Roman"/>
                <w:bCs w:val="0"/>
                <w:color w:val="0D0D0D" w:themeColor="text1" w:themeTint="F2"/>
                <w:sz w:val="18"/>
                <w:szCs w:val="18"/>
              </w:rPr>
              <w:t>Balance in All IRAs</w:t>
            </w:r>
          </w:p>
        </w:tc>
        <w:tc>
          <w:tcPr>
            <w:tcW w:w="1530" w:type="dxa"/>
            <w:tcBorders>
              <w:left w:val="single" w:sz="8" w:space="0" w:color="4472C4" w:themeColor="accent1"/>
              <w:right w:val="single" w:sz="8" w:space="0" w:color="4472C4" w:themeColor="accent1"/>
            </w:tcBorders>
            <w:shd w:val="clear" w:color="auto" w:fill="EDEDED" w:themeFill="accent3" w:themeFillTint="33"/>
            <w:hideMark/>
          </w:tcPr>
          <w:p w14:paraId="5E3803F3" w14:textId="77777777" w:rsidR="00E702D3" w:rsidRPr="00E702D3"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E702D3">
              <w:rPr>
                <w:rFonts w:eastAsia="Times New Roman" w:cs="Times New Roman"/>
                <w:b/>
                <w:color w:val="0D0D0D" w:themeColor="text1" w:themeTint="F2"/>
                <w:sz w:val="18"/>
                <w:szCs w:val="18"/>
              </w:rPr>
              <w:t>Contribution to Non-deductible traditional IRA</w:t>
            </w:r>
          </w:p>
        </w:tc>
        <w:tc>
          <w:tcPr>
            <w:tcW w:w="900" w:type="dxa"/>
            <w:tcBorders>
              <w:left w:val="single" w:sz="8" w:space="0" w:color="4472C4" w:themeColor="accent1"/>
              <w:right w:val="single" w:sz="8" w:space="0" w:color="4472C4" w:themeColor="accent1"/>
            </w:tcBorders>
            <w:shd w:val="clear" w:color="auto" w:fill="EDEDED" w:themeFill="accent3" w:themeFillTint="33"/>
            <w:hideMark/>
          </w:tcPr>
          <w:p w14:paraId="25FC6B74" w14:textId="77777777" w:rsidR="00E702D3" w:rsidRPr="00E702D3"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E702D3">
              <w:rPr>
                <w:rFonts w:eastAsia="Times New Roman" w:cs="Times New Roman"/>
                <w:b/>
                <w:color w:val="0D0D0D" w:themeColor="text1" w:themeTint="F2"/>
                <w:sz w:val="18"/>
                <w:szCs w:val="18"/>
              </w:rPr>
              <w:t>Convert to Roth IRA</w:t>
            </w:r>
          </w:p>
        </w:tc>
        <w:tc>
          <w:tcPr>
            <w:tcW w:w="1285" w:type="dxa"/>
            <w:tcBorders>
              <w:left w:val="single" w:sz="8" w:space="0" w:color="4472C4" w:themeColor="accent1"/>
              <w:right w:val="single" w:sz="8" w:space="0" w:color="4472C4" w:themeColor="accent1"/>
            </w:tcBorders>
            <w:shd w:val="clear" w:color="auto" w:fill="EDEDED" w:themeFill="accent3" w:themeFillTint="33"/>
            <w:hideMark/>
          </w:tcPr>
          <w:p w14:paraId="5FB30360" w14:textId="77777777" w:rsidR="00E702D3" w:rsidRPr="00E702D3"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E702D3">
              <w:rPr>
                <w:rFonts w:eastAsia="Times New Roman" w:cs="Times New Roman"/>
                <w:b/>
                <w:color w:val="0D0D0D" w:themeColor="text1" w:themeTint="F2"/>
                <w:sz w:val="18"/>
                <w:szCs w:val="18"/>
              </w:rPr>
              <w:t>Income Subject to Taxation</w:t>
            </w:r>
          </w:p>
        </w:tc>
      </w:tr>
      <w:tr w:rsidR="00E702D3" w:rsidRPr="0029590C" w14:paraId="26B3CA83" w14:textId="77777777" w:rsidTr="00B23E6C">
        <w:trPr>
          <w:trHeight w:val="220"/>
        </w:trPr>
        <w:tc>
          <w:tcPr>
            <w:cnfStyle w:val="001000000000" w:firstRow="0" w:lastRow="0" w:firstColumn="1" w:lastColumn="0" w:oddVBand="0" w:evenVBand="0" w:oddHBand="0" w:evenHBand="0" w:firstRowFirstColumn="0" w:firstRowLastColumn="0" w:lastRowFirstColumn="0" w:lastRowLastColumn="0"/>
            <w:tcW w:w="1520" w:type="dxa"/>
            <w:tcBorders>
              <w:top w:val="single" w:sz="8" w:space="0" w:color="4472C4" w:themeColor="accent1"/>
              <w:left w:val="single" w:sz="8" w:space="0" w:color="4472C4" w:themeColor="accent1"/>
              <w:bottom w:val="single" w:sz="8" w:space="0" w:color="4472C4" w:themeColor="accent1"/>
            </w:tcBorders>
            <w:vAlign w:val="center"/>
            <w:hideMark/>
          </w:tcPr>
          <w:p w14:paraId="0C00BF65" w14:textId="6653652F" w:rsidR="00E702D3" w:rsidRPr="0029590C" w:rsidRDefault="00E702D3" w:rsidP="006A3DC8">
            <w:pPr>
              <w:jc w:val="center"/>
              <w:rPr>
                <w:color w:val="2E74B5" w:themeColor="accent5" w:themeShade="BF"/>
                <w:sz w:val="24"/>
                <w:szCs w:val="20"/>
              </w:rPr>
            </w:pPr>
            <w:r w:rsidRPr="0029590C">
              <w:rPr>
                <w:color w:val="2E74B5" w:themeColor="accent5" w:themeShade="BF"/>
                <w:sz w:val="24"/>
                <w:szCs w:val="20"/>
              </w:rPr>
              <w:t>$</w:t>
            </w:r>
            <w:r w:rsidR="00095FA5">
              <w:rPr>
                <w:color w:val="2E74B5" w:themeColor="accent5" w:themeShade="BF"/>
                <w:sz w:val="24"/>
                <w:szCs w:val="20"/>
              </w:rPr>
              <w:t>93</w:t>
            </w:r>
            <w:r w:rsidRPr="0029590C">
              <w:rPr>
                <w:color w:val="2E74B5" w:themeColor="accent5" w:themeShade="BF"/>
                <w:sz w:val="24"/>
                <w:szCs w:val="20"/>
              </w:rPr>
              <w:t>,</w:t>
            </w:r>
            <w:r w:rsidR="009909AB">
              <w:rPr>
                <w:color w:val="2E74B5" w:themeColor="accent5" w:themeShade="BF"/>
                <w:sz w:val="24"/>
                <w:szCs w:val="20"/>
              </w:rPr>
              <w:t>0</w:t>
            </w:r>
            <w:r w:rsidRPr="0029590C">
              <w:rPr>
                <w:color w:val="2E74B5" w:themeColor="accent5" w:themeShade="BF"/>
                <w:sz w:val="24"/>
                <w:szCs w:val="20"/>
              </w:rPr>
              <w:t>00</w:t>
            </w:r>
          </w:p>
        </w:tc>
        <w:tc>
          <w:tcPr>
            <w:tcW w:w="153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13BB2AC9" w14:textId="604A7948" w:rsidR="00E702D3" w:rsidRPr="00BD0D4D" w:rsidRDefault="00E702D3" w:rsidP="006A3DC8">
            <w:pPr>
              <w:jc w:val="center"/>
              <w:cnfStyle w:val="000000000000" w:firstRow="0" w:lastRow="0" w:firstColumn="0" w:lastColumn="0" w:oddVBand="0" w:evenVBand="0" w:oddHBand="0" w:evenHBand="0" w:firstRowFirstColumn="0" w:firstRowLastColumn="0" w:lastRowFirstColumn="0" w:lastRowLastColumn="0"/>
              <w:rPr>
                <w:b/>
                <w:color w:val="7030A0"/>
                <w:sz w:val="24"/>
                <w:szCs w:val="20"/>
              </w:rPr>
            </w:pPr>
            <w:r w:rsidRPr="00BD0D4D">
              <w:rPr>
                <w:b/>
                <w:color w:val="7030A0"/>
                <w:sz w:val="24"/>
                <w:szCs w:val="20"/>
              </w:rPr>
              <w:t>$</w:t>
            </w:r>
            <w:r w:rsidR="009909AB">
              <w:rPr>
                <w:b/>
                <w:color w:val="7030A0"/>
                <w:sz w:val="24"/>
                <w:szCs w:val="20"/>
              </w:rPr>
              <w:t>7</w:t>
            </w:r>
            <w:r w:rsidRPr="00BD0D4D">
              <w:rPr>
                <w:b/>
                <w:color w:val="7030A0"/>
                <w:sz w:val="24"/>
                <w:szCs w:val="20"/>
              </w:rPr>
              <w:t>,</w:t>
            </w:r>
            <w:r w:rsidR="009909AB">
              <w:rPr>
                <w:b/>
                <w:color w:val="7030A0"/>
                <w:sz w:val="24"/>
                <w:szCs w:val="20"/>
              </w:rPr>
              <w:t>0</w:t>
            </w:r>
            <w:r w:rsidRPr="00BD0D4D">
              <w:rPr>
                <w:b/>
                <w:color w:val="7030A0"/>
                <w:sz w:val="24"/>
                <w:szCs w:val="20"/>
              </w:rPr>
              <w:t>00</w:t>
            </w:r>
          </w:p>
        </w:tc>
        <w:tc>
          <w:tcPr>
            <w:tcW w:w="90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0E651120" w14:textId="74E6DD26" w:rsidR="00E702D3" w:rsidRPr="00BD0D4D" w:rsidRDefault="00E702D3" w:rsidP="006A3DC8">
            <w:pPr>
              <w:jc w:val="center"/>
              <w:cnfStyle w:val="000000000000" w:firstRow="0" w:lastRow="0" w:firstColumn="0" w:lastColumn="0" w:oddVBand="0" w:evenVBand="0" w:oddHBand="0" w:evenHBand="0" w:firstRowFirstColumn="0" w:firstRowLastColumn="0" w:lastRowFirstColumn="0" w:lastRowLastColumn="0"/>
              <w:rPr>
                <w:b/>
                <w:color w:val="7030A0"/>
                <w:sz w:val="24"/>
                <w:szCs w:val="20"/>
              </w:rPr>
            </w:pPr>
            <w:r w:rsidRPr="00BD0D4D">
              <w:rPr>
                <w:b/>
                <w:color w:val="7030A0"/>
                <w:sz w:val="24"/>
                <w:szCs w:val="20"/>
              </w:rPr>
              <w:t>$</w:t>
            </w:r>
            <w:r w:rsidR="009909AB">
              <w:rPr>
                <w:b/>
                <w:color w:val="7030A0"/>
                <w:sz w:val="24"/>
                <w:szCs w:val="20"/>
              </w:rPr>
              <w:t>7</w:t>
            </w:r>
            <w:r w:rsidRPr="00BD0D4D">
              <w:rPr>
                <w:b/>
                <w:color w:val="7030A0"/>
                <w:sz w:val="24"/>
                <w:szCs w:val="20"/>
              </w:rPr>
              <w:t>,</w:t>
            </w:r>
            <w:r w:rsidR="009909AB">
              <w:rPr>
                <w:b/>
                <w:color w:val="7030A0"/>
                <w:sz w:val="24"/>
                <w:szCs w:val="20"/>
              </w:rPr>
              <w:t>0</w:t>
            </w:r>
            <w:r w:rsidRPr="00BD0D4D">
              <w:rPr>
                <w:b/>
                <w:color w:val="7030A0"/>
                <w:sz w:val="24"/>
                <w:szCs w:val="20"/>
              </w:rPr>
              <w:t>00</w:t>
            </w:r>
          </w:p>
        </w:tc>
        <w:tc>
          <w:tcPr>
            <w:tcW w:w="128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564EC3A1" w14:textId="32CF1B23" w:rsidR="00E702D3" w:rsidRPr="0029590C" w:rsidRDefault="00095FA5" w:rsidP="006A3DC8">
            <w:pPr>
              <w:jc w:val="center"/>
              <w:cnfStyle w:val="000000000000" w:firstRow="0" w:lastRow="0" w:firstColumn="0" w:lastColumn="0" w:oddVBand="0" w:evenVBand="0" w:oddHBand="0" w:evenHBand="0" w:firstRowFirstColumn="0" w:firstRowLastColumn="0" w:lastRowFirstColumn="0" w:lastRowLastColumn="0"/>
              <w:rPr>
                <w:b/>
                <w:color w:val="2E74B5" w:themeColor="accent5" w:themeShade="BF"/>
                <w:sz w:val="24"/>
                <w:szCs w:val="20"/>
              </w:rPr>
            </w:pPr>
            <w:r>
              <w:rPr>
                <w:b/>
                <w:color w:val="00B050"/>
                <w:sz w:val="24"/>
                <w:szCs w:val="20"/>
              </w:rPr>
              <w:t>$</w:t>
            </w:r>
            <w:r w:rsidR="00B23E6C">
              <w:rPr>
                <w:b/>
                <w:color w:val="00B050"/>
                <w:sz w:val="24"/>
                <w:szCs w:val="20"/>
              </w:rPr>
              <w:t>6,</w:t>
            </w:r>
            <w:r w:rsidR="009909AB">
              <w:rPr>
                <w:b/>
                <w:color w:val="00B050"/>
                <w:sz w:val="24"/>
                <w:szCs w:val="20"/>
              </w:rPr>
              <w:t>510</w:t>
            </w:r>
          </w:p>
        </w:tc>
      </w:tr>
      <w:tr w:rsidR="00E702D3" w:rsidRPr="0029590C" w14:paraId="193347C8" w14:textId="77777777" w:rsidTr="006A3DC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235" w:type="dxa"/>
            <w:gridSpan w:val="4"/>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A6CC0F4" w14:textId="77777777" w:rsidR="00E702D3" w:rsidRPr="0029590C" w:rsidRDefault="00E702D3" w:rsidP="006A3DC8">
            <w:pPr>
              <w:jc w:val="center"/>
              <w:rPr>
                <w:b w:val="0"/>
                <w:color w:val="2E74B5" w:themeColor="accent5" w:themeShade="BF"/>
                <w:sz w:val="24"/>
                <w:szCs w:val="20"/>
              </w:rPr>
            </w:pPr>
            <w:r w:rsidRPr="00E702D3">
              <w:rPr>
                <w:rFonts w:ascii="Times New Roman" w:eastAsia="Times New Roman" w:hAnsi="Times New Roman" w:cs="Times New Roman"/>
                <w:b w:val="0"/>
                <w:bCs w:val="0"/>
                <w:i/>
                <w:iCs/>
                <w:color w:val="767171" w:themeColor="background2" w:themeShade="80"/>
                <w:sz w:val="16"/>
                <w:szCs w:val="18"/>
              </w:rPr>
              <w:t>This is a hypothetical example and is not representative of any specific investment. Your results may vary.</w:t>
            </w:r>
          </w:p>
        </w:tc>
      </w:tr>
    </w:tbl>
    <w:p w14:paraId="760015EB" w14:textId="2C4B0E39" w:rsidR="005147BF" w:rsidRPr="00B23E6C" w:rsidRDefault="005147BF" w:rsidP="005147BF">
      <w:pPr>
        <w:spacing w:after="0" w:line="240" w:lineRule="auto"/>
        <w:jc w:val="both"/>
        <w:rPr>
          <w:szCs w:val="20"/>
        </w:rPr>
      </w:pPr>
      <w:r w:rsidRPr="00B23E6C">
        <w:rPr>
          <w:szCs w:val="20"/>
        </w:rPr>
        <w:t xml:space="preserve">The IRS determines the tax on this conversion based on the value of all your IRA assets. For example, </w:t>
      </w:r>
      <w:r w:rsidR="009909AB">
        <w:rPr>
          <w:szCs w:val="20"/>
        </w:rPr>
        <w:t>Sam</w:t>
      </w:r>
      <w:r w:rsidRPr="00B23E6C">
        <w:rPr>
          <w:szCs w:val="20"/>
        </w:rPr>
        <w:t>, a high-income earner, already has $9</w:t>
      </w:r>
      <w:r w:rsidR="00B23E6C">
        <w:rPr>
          <w:szCs w:val="20"/>
        </w:rPr>
        <w:t>3</w:t>
      </w:r>
      <w:r w:rsidRPr="00B23E6C">
        <w:rPr>
          <w:szCs w:val="20"/>
        </w:rPr>
        <w:t>,</w:t>
      </w:r>
      <w:r w:rsidR="009113CE">
        <w:rPr>
          <w:szCs w:val="20"/>
        </w:rPr>
        <w:t>0</w:t>
      </w:r>
      <w:r w:rsidRPr="00B23E6C">
        <w:rPr>
          <w:szCs w:val="20"/>
        </w:rPr>
        <w:t xml:space="preserve">00 in an IRA account, all of which has never been taxed. </w:t>
      </w:r>
      <w:r w:rsidR="006A3DC8" w:rsidRPr="00B23E6C">
        <w:rPr>
          <w:szCs w:val="20"/>
        </w:rPr>
        <w:t>He</w:t>
      </w:r>
      <w:r w:rsidRPr="00B23E6C">
        <w:rPr>
          <w:szCs w:val="20"/>
        </w:rPr>
        <w:t xml:space="preserve"> decides on January 2nd to put $</w:t>
      </w:r>
      <w:r w:rsidR="009113CE">
        <w:rPr>
          <w:szCs w:val="20"/>
        </w:rPr>
        <w:t>7</w:t>
      </w:r>
      <w:r w:rsidRPr="00B23E6C">
        <w:rPr>
          <w:szCs w:val="20"/>
        </w:rPr>
        <w:t>,</w:t>
      </w:r>
      <w:r w:rsidR="009113CE">
        <w:rPr>
          <w:szCs w:val="20"/>
        </w:rPr>
        <w:t>0</w:t>
      </w:r>
      <w:r w:rsidRPr="00B23E6C">
        <w:rPr>
          <w:szCs w:val="20"/>
        </w:rPr>
        <w:t xml:space="preserve">00 into a new traditional IRA. The next day he converts the new traditional non-deductible IRA to a Roth IRA.  </w:t>
      </w:r>
      <w:r w:rsidR="009909AB">
        <w:rPr>
          <w:szCs w:val="20"/>
        </w:rPr>
        <w:t>Sam</w:t>
      </w:r>
      <w:r w:rsidRPr="00B23E6C">
        <w:rPr>
          <w:szCs w:val="20"/>
        </w:rPr>
        <w:t xml:space="preserve">’s income is too high to make a direct contribution into a Roth IRA, but </w:t>
      </w:r>
      <w:r w:rsidR="0090591F" w:rsidRPr="00B23E6C">
        <w:rPr>
          <w:szCs w:val="20"/>
        </w:rPr>
        <w:t>there is</w:t>
      </w:r>
      <w:r w:rsidRPr="00B23E6C">
        <w:rPr>
          <w:szCs w:val="20"/>
        </w:rPr>
        <w:t xml:space="preserve"> no income limit on conversions.  </w:t>
      </w:r>
      <w:r w:rsidR="006A3DC8" w:rsidRPr="00B23E6C">
        <w:rPr>
          <w:szCs w:val="20"/>
        </w:rPr>
        <w:t>He</w:t>
      </w:r>
      <w:r w:rsidRPr="00B23E6C">
        <w:rPr>
          <w:szCs w:val="20"/>
        </w:rPr>
        <w:t xml:space="preserve"> has $9</w:t>
      </w:r>
      <w:r w:rsidR="00095FA5" w:rsidRPr="00B23E6C">
        <w:rPr>
          <w:szCs w:val="20"/>
        </w:rPr>
        <w:t>3</w:t>
      </w:r>
      <w:r w:rsidRPr="00B23E6C">
        <w:rPr>
          <w:szCs w:val="20"/>
        </w:rPr>
        <w:t>,</w:t>
      </w:r>
      <w:r w:rsidR="009113CE">
        <w:rPr>
          <w:szCs w:val="20"/>
        </w:rPr>
        <w:t>0</w:t>
      </w:r>
      <w:r w:rsidRPr="00B23E6C">
        <w:rPr>
          <w:szCs w:val="20"/>
        </w:rPr>
        <w:t xml:space="preserve">00 in other IRAs (previously </w:t>
      </w:r>
      <w:r w:rsidR="00095FA5" w:rsidRPr="00B23E6C">
        <w:rPr>
          <w:szCs w:val="20"/>
        </w:rPr>
        <w:t xml:space="preserve">ALL </w:t>
      </w:r>
      <w:r w:rsidRPr="00B23E6C">
        <w:rPr>
          <w:szCs w:val="20"/>
        </w:rPr>
        <w:t>non-taxed), so h</w:t>
      </w:r>
      <w:r w:rsidR="00095FA5" w:rsidRPr="00B23E6C">
        <w:rPr>
          <w:szCs w:val="20"/>
        </w:rPr>
        <w:t>is</w:t>
      </w:r>
      <w:r w:rsidRPr="00B23E6C">
        <w:rPr>
          <w:szCs w:val="20"/>
        </w:rPr>
        <w:t xml:space="preserve"> total IRA assets are now $100,</w:t>
      </w:r>
      <w:r w:rsidR="00095FA5" w:rsidRPr="00B23E6C">
        <w:rPr>
          <w:szCs w:val="20"/>
        </w:rPr>
        <w:t>0</w:t>
      </w:r>
      <w:r w:rsidRPr="00B23E6C">
        <w:rPr>
          <w:szCs w:val="20"/>
        </w:rPr>
        <w:t>00. When he converts $</w:t>
      </w:r>
      <w:r w:rsidR="009113CE">
        <w:rPr>
          <w:szCs w:val="20"/>
        </w:rPr>
        <w:t>7</w:t>
      </w:r>
      <w:r w:rsidR="00762BD5">
        <w:rPr>
          <w:szCs w:val="20"/>
        </w:rPr>
        <w:t>,0</w:t>
      </w:r>
      <w:r w:rsidRPr="00B23E6C">
        <w:rPr>
          <w:szCs w:val="20"/>
        </w:rPr>
        <w:t>00 to a Roth IRA, the IRS pro-rates h</w:t>
      </w:r>
      <w:r w:rsidR="00095FA5" w:rsidRPr="00B23E6C">
        <w:rPr>
          <w:szCs w:val="20"/>
        </w:rPr>
        <w:t>is</w:t>
      </w:r>
      <w:r w:rsidRPr="00B23E6C">
        <w:rPr>
          <w:szCs w:val="20"/>
        </w:rPr>
        <w:t xml:space="preserve"> tax basis on the previous taxation of </w:t>
      </w:r>
      <w:r w:rsidR="00095FA5" w:rsidRPr="00B23E6C">
        <w:rPr>
          <w:szCs w:val="20"/>
        </w:rPr>
        <w:t>his</w:t>
      </w:r>
      <w:r w:rsidRPr="00B23E6C">
        <w:rPr>
          <w:szCs w:val="20"/>
        </w:rPr>
        <w:t xml:space="preserve"> total IRA assets, therefore making this conversion 9</w:t>
      </w:r>
      <w:r w:rsidR="00B23E6C" w:rsidRPr="00B23E6C">
        <w:rPr>
          <w:szCs w:val="20"/>
        </w:rPr>
        <w:t>3</w:t>
      </w:r>
      <w:r w:rsidRPr="00B23E6C">
        <w:rPr>
          <w:szCs w:val="20"/>
        </w:rPr>
        <w:t>% taxable ($9</w:t>
      </w:r>
      <w:r w:rsidR="00B23E6C" w:rsidRPr="00B23E6C">
        <w:rPr>
          <w:szCs w:val="20"/>
        </w:rPr>
        <w:t>3</w:t>
      </w:r>
      <w:r w:rsidRPr="00B23E6C">
        <w:rPr>
          <w:szCs w:val="20"/>
        </w:rPr>
        <w:t>,</w:t>
      </w:r>
      <w:r w:rsidR="009113CE">
        <w:rPr>
          <w:szCs w:val="20"/>
        </w:rPr>
        <w:t>0</w:t>
      </w:r>
      <w:r w:rsidRPr="00B23E6C">
        <w:rPr>
          <w:szCs w:val="20"/>
        </w:rPr>
        <w:t>00/100,</w:t>
      </w:r>
      <w:r w:rsidR="00095FA5" w:rsidRPr="00B23E6C">
        <w:rPr>
          <w:szCs w:val="20"/>
        </w:rPr>
        <w:t>0</w:t>
      </w:r>
      <w:r w:rsidRPr="00B23E6C">
        <w:rPr>
          <w:szCs w:val="20"/>
        </w:rPr>
        <w:t>00 = 9</w:t>
      </w:r>
      <w:r w:rsidR="00B23E6C" w:rsidRPr="00B23E6C">
        <w:rPr>
          <w:szCs w:val="20"/>
        </w:rPr>
        <w:t>3</w:t>
      </w:r>
      <w:r w:rsidRPr="00B23E6C">
        <w:rPr>
          <w:szCs w:val="20"/>
        </w:rPr>
        <w:t>%).</w:t>
      </w:r>
    </w:p>
    <w:p w14:paraId="1DDCDC2B" w14:textId="1C48C505" w:rsidR="00A61189" w:rsidRPr="00B23E6C" w:rsidRDefault="00A61189" w:rsidP="00A61189">
      <w:pPr>
        <w:spacing w:after="0" w:line="240" w:lineRule="auto"/>
        <w:rPr>
          <w:rFonts w:ascii="Times New Roman" w:eastAsia="Times New Roman" w:hAnsi="Times New Roman" w:cs="Times New Roman"/>
          <w:i/>
          <w:iCs/>
          <w:color w:val="2E74B5" w:themeColor="accent5" w:themeShade="BF"/>
          <w:sz w:val="4"/>
          <w:szCs w:val="6"/>
        </w:rPr>
      </w:pPr>
    </w:p>
    <w:p w14:paraId="68BEF310" w14:textId="77777777" w:rsidR="00B23E6C" w:rsidRDefault="00B23E6C" w:rsidP="005147BF">
      <w:pPr>
        <w:spacing w:after="0" w:line="240" w:lineRule="auto"/>
        <w:jc w:val="both"/>
        <w:rPr>
          <w:b/>
          <w:color w:val="000000" w:themeColor="text1"/>
        </w:rPr>
      </w:pPr>
    </w:p>
    <w:p w14:paraId="1180B45F" w14:textId="5E3D1797" w:rsidR="005147BF" w:rsidRPr="00CE28D7" w:rsidRDefault="005147BF" w:rsidP="005147BF">
      <w:pPr>
        <w:spacing w:after="0" w:line="240" w:lineRule="auto"/>
        <w:jc w:val="both"/>
        <w:rPr>
          <w:color w:val="000000" w:themeColor="text1"/>
          <w:szCs w:val="20"/>
        </w:rPr>
      </w:pPr>
      <w:r w:rsidRPr="001F775A">
        <w:rPr>
          <w:b/>
          <w:color w:val="000000" w:themeColor="text1"/>
        </w:rPr>
        <w:t xml:space="preserve">If you plan on using this backdoor IRA strategy, you want to be clear as to </w:t>
      </w:r>
      <w:r w:rsidR="001F775A" w:rsidRPr="001F775A">
        <w:rPr>
          <w:b/>
          <w:color w:val="000000" w:themeColor="text1"/>
        </w:rPr>
        <w:t>whether</w:t>
      </w:r>
      <w:r w:rsidRPr="001F775A">
        <w:rPr>
          <w:b/>
          <w:color w:val="000000" w:themeColor="text1"/>
        </w:rPr>
        <w:t xml:space="preserve"> you have any other IRAs</w:t>
      </w:r>
      <w:r w:rsidRPr="001F775A">
        <w:rPr>
          <w:color w:val="000000" w:themeColor="text1"/>
        </w:rPr>
        <w:t>. As you can see, this can be a confusing area, and this is where</w:t>
      </w:r>
      <w:r w:rsidRPr="001F775A">
        <w:rPr>
          <w:color w:val="000000" w:themeColor="text1"/>
          <w:szCs w:val="20"/>
        </w:rPr>
        <w:t xml:space="preserve"> we can help. If you are a high-income</w:t>
      </w:r>
      <w:r w:rsidR="002A317B" w:rsidRPr="001F775A">
        <w:rPr>
          <w:color w:val="000000" w:themeColor="text1"/>
          <w:szCs w:val="20"/>
        </w:rPr>
        <w:t>-</w:t>
      </w:r>
      <w:r w:rsidRPr="001F775A">
        <w:rPr>
          <w:color w:val="000000" w:themeColor="text1"/>
          <w:szCs w:val="20"/>
        </w:rPr>
        <w:t>earner we would be happy to review your situation to determine if this strategy is in your best interest.</w:t>
      </w:r>
      <w:r w:rsidR="00CE28D7">
        <w:rPr>
          <w:color w:val="000000" w:themeColor="text1"/>
          <w:szCs w:val="20"/>
        </w:rPr>
        <w:t xml:space="preserve">  </w:t>
      </w:r>
      <w:r w:rsidRPr="00CE28D7">
        <w:rPr>
          <w:b/>
          <w:bCs/>
          <w:color w:val="000000" w:themeColor="text1"/>
          <w:szCs w:val="20"/>
        </w:rPr>
        <w:t>Also, please remember that your spouse’s IRA is separate from yours.</w:t>
      </w:r>
    </w:p>
    <w:p w14:paraId="11944980" w14:textId="1609A0D1" w:rsidR="005147BF" w:rsidRDefault="005147BF" w:rsidP="005147BF">
      <w:pPr>
        <w:spacing w:after="0" w:line="240" w:lineRule="auto"/>
        <w:jc w:val="both"/>
        <w:rPr>
          <w:rFonts w:eastAsia="Times New Roman" w:cs="Times New Roman"/>
          <w:color w:val="0D0D0D" w:themeColor="text1" w:themeTint="F2"/>
          <w:sz w:val="21"/>
          <w:szCs w:val="21"/>
        </w:rPr>
      </w:pPr>
    </w:p>
    <w:p w14:paraId="00D474B1" w14:textId="0E8D80AE"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Am I a Candidate for a Backdoor Roth IRA?</w:t>
      </w:r>
    </w:p>
    <w:p w14:paraId="718D5ED3" w14:textId="7494074D" w:rsidR="005147BF" w:rsidRPr="001F775A" w:rsidRDefault="00654A42" w:rsidP="005147BF">
      <w:pPr>
        <w:spacing w:after="0" w:line="240" w:lineRule="auto"/>
        <w:jc w:val="both"/>
        <w:rPr>
          <w:rFonts w:eastAsia="Times New Roman" w:cstheme="minorHAnsi"/>
          <w:b/>
          <w:color w:val="000000" w:themeColor="text1"/>
        </w:rPr>
      </w:pPr>
      <w:r>
        <w:rPr>
          <w:rFonts w:eastAsia="Times New Roman" w:cstheme="minorHAnsi"/>
          <w:b/>
          <w:color w:val="000000" w:themeColor="text1"/>
          <w:sz w:val="8"/>
          <w:szCs w:val="8"/>
        </w:rPr>
        <w:br/>
      </w:r>
      <w:r w:rsidR="005147BF" w:rsidRPr="001F775A">
        <w:rPr>
          <w:rFonts w:eastAsia="Times New Roman" w:cstheme="minorHAnsi"/>
          <w:b/>
          <w:color w:val="000000" w:themeColor="text1"/>
        </w:rPr>
        <w:t>Backdoor Roth IRAs can be appropriate for investors who:</w:t>
      </w:r>
      <w:r w:rsidR="00D62C61" w:rsidRPr="001F775A">
        <w:rPr>
          <w:rFonts w:eastAsia="Times New Roman" w:cstheme="minorHAnsi"/>
          <w:b/>
          <w:color w:val="000000" w:themeColor="text1"/>
        </w:rPr>
        <w:br/>
      </w:r>
    </w:p>
    <w:p w14:paraId="577BAB28" w14:textId="523BD72C" w:rsidR="005147BF" w:rsidRPr="001F775A"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Only have retirement accounts through their jobs (</w:t>
      </w:r>
      <w:r w:rsidR="009249F1" w:rsidRPr="001F775A">
        <w:rPr>
          <w:rFonts w:eastAsia="Times New Roman" w:cstheme="minorHAnsi"/>
          <w:color w:val="000000" w:themeColor="text1"/>
        </w:rPr>
        <w:t>i.e.,</w:t>
      </w:r>
      <w:r w:rsidRPr="001F775A">
        <w:rPr>
          <w:rFonts w:eastAsia="Times New Roman" w:cstheme="minorHAnsi"/>
          <w:color w:val="000000" w:themeColor="text1"/>
        </w:rPr>
        <w:t xml:space="preserve"> 401k's) and want to increase their retirement savings in </w:t>
      </w:r>
      <w:r w:rsidRPr="001F775A">
        <w:rPr>
          <w:rFonts w:eastAsia="Times New Roman" w:cstheme="minorHAnsi"/>
          <w:color w:val="000000" w:themeColor="text1"/>
        </w:rPr>
        <w:lastRenderedPageBreak/>
        <w:t>tax-advantaged accounts, but whose income is too high to qualify for standard Roth IRA contributions; and</w:t>
      </w:r>
    </w:p>
    <w:p w14:paraId="70B2C9A4" w14:textId="50A36714" w:rsidR="009249F1" w:rsidRPr="001F775A"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 xml:space="preserve">Have the time and ability to wait for five years or until they are 59½, whichever is later, to avoid the 10% penalty on early withdrawals. </w:t>
      </w:r>
    </w:p>
    <w:p w14:paraId="7D28C53F" w14:textId="11D3A065" w:rsidR="009249F1" w:rsidRPr="001F775A" w:rsidRDefault="009249F1" w:rsidP="005147BF">
      <w:pPr>
        <w:spacing w:after="0" w:line="240" w:lineRule="auto"/>
        <w:jc w:val="both"/>
        <w:rPr>
          <w:rFonts w:eastAsia="Times New Roman" w:cstheme="minorHAnsi"/>
          <w:b/>
          <w:color w:val="000000" w:themeColor="text1"/>
        </w:rPr>
      </w:pPr>
    </w:p>
    <w:p w14:paraId="2D00697E" w14:textId="6D63C861" w:rsidR="005147BF" w:rsidRPr="001F775A" w:rsidRDefault="005147BF" w:rsidP="005147BF">
      <w:pPr>
        <w:spacing w:after="0" w:line="240" w:lineRule="auto"/>
        <w:jc w:val="both"/>
        <w:rPr>
          <w:rFonts w:eastAsia="Times New Roman" w:cstheme="minorHAnsi"/>
          <w:b/>
          <w:color w:val="000000" w:themeColor="text1"/>
        </w:rPr>
      </w:pPr>
      <w:r w:rsidRPr="001F775A">
        <w:rPr>
          <w:rFonts w:eastAsia="Times New Roman" w:cstheme="minorHAnsi"/>
          <w:b/>
          <w:color w:val="000000" w:themeColor="text1"/>
        </w:rPr>
        <w:t xml:space="preserve">A Backdoor Roth IRA is probably </w:t>
      </w:r>
      <w:r w:rsidRPr="001F775A">
        <w:rPr>
          <w:rFonts w:eastAsia="Times New Roman" w:cstheme="minorHAnsi"/>
          <w:b/>
          <w:i/>
          <w:color w:val="000000" w:themeColor="text1"/>
        </w:rPr>
        <w:t>not</w:t>
      </w:r>
      <w:r w:rsidRPr="001F775A">
        <w:rPr>
          <w:rFonts w:eastAsia="Times New Roman" w:cstheme="minorHAnsi"/>
          <w:b/>
          <w:color w:val="000000" w:themeColor="text1"/>
        </w:rPr>
        <w:t xml:space="preserve"> recommended if you:</w:t>
      </w:r>
    </w:p>
    <w:p w14:paraId="1A4C145D" w14:textId="1E16D04F" w:rsidR="00D62C61" w:rsidRPr="001F775A" w:rsidRDefault="00D62C61" w:rsidP="005147BF">
      <w:pPr>
        <w:spacing w:after="0" w:line="240" w:lineRule="auto"/>
        <w:jc w:val="both"/>
        <w:rPr>
          <w:rFonts w:eastAsia="Times New Roman" w:cstheme="minorHAnsi"/>
          <w:b/>
          <w:color w:val="000000" w:themeColor="text1"/>
        </w:rPr>
      </w:pPr>
    </w:p>
    <w:p w14:paraId="03DBD228" w14:textId="397B7BB3" w:rsidR="005147BF" w:rsidRPr="001F775A" w:rsidRDefault="005B3893"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Do not</w:t>
      </w:r>
      <w:r w:rsidR="005147BF" w:rsidRPr="001F775A">
        <w:rPr>
          <w:rFonts w:eastAsia="Times New Roman" w:cstheme="minorHAnsi"/>
          <w:color w:val="000000" w:themeColor="text1"/>
        </w:rPr>
        <w:t xml:space="preserve"> want to contribute more than the maximum retirement limit through your workplace retirement account. </w:t>
      </w:r>
    </w:p>
    <w:p w14:paraId="2319F1AB" w14:textId="532D8010" w:rsidR="005147BF" w:rsidRPr="001F775A"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Already have money in a traditional IRA and because of the Pro Rata rule may end up in a non-tax advantageous position when converting to a Backdoor Roth IRA.</w:t>
      </w:r>
    </w:p>
    <w:p w14:paraId="3558FC3F" w14:textId="38A691A7" w:rsidR="005147BF" w:rsidRPr="001F775A" w:rsidRDefault="005147BF" w:rsidP="005147BF">
      <w:pPr>
        <w:numPr>
          <w:ilvl w:val="0"/>
          <w:numId w:val="10"/>
        </w:numPr>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Plan or expect to withdraw the funds in the Roth IRA within the first five years of opening it. A Backdoor Roth is considered a conversion and not a contribution. Therefore, the funds may incur a 10% penalty if withdrawn within five years no matter your age.</w:t>
      </w:r>
    </w:p>
    <w:p w14:paraId="31D1CF89" w14:textId="1DE8CC97" w:rsidR="005147BF" w:rsidRPr="001F775A" w:rsidRDefault="0006264E"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Pr>
          <w:noProof/>
        </w:rPr>
        <mc:AlternateContent>
          <mc:Choice Requires="wps">
            <w:drawing>
              <wp:anchor distT="45720" distB="0" distL="114300" distR="114300" simplePos="0" relativeHeight="251686912" behindDoc="0" locked="0" layoutInCell="1" allowOverlap="1" wp14:anchorId="4DC80419" wp14:editId="58BEEBD8">
                <wp:simplePos x="0" y="0"/>
                <wp:positionH relativeFrom="margin">
                  <wp:align>left</wp:align>
                </wp:positionH>
                <wp:positionV relativeFrom="paragraph">
                  <wp:posOffset>426490</wp:posOffset>
                </wp:positionV>
                <wp:extent cx="6943725" cy="787941"/>
                <wp:effectExtent l="0" t="0" r="28575"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787941"/>
                        </a:xfrm>
                        <a:prstGeom prst="rect">
                          <a:avLst/>
                        </a:prstGeom>
                        <a:solidFill>
                          <a:schemeClr val="bg1"/>
                        </a:solidFill>
                        <a:ln w="9525">
                          <a:solidFill>
                            <a:srgbClr val="6B8FCF"/>
                          </a:solidFill>
                          <a:prstDash val="sysDash"/>
                          <a:miter lim="800000"/>
                          <a:headEnd/>
                          <a:tailEnd/>
                        </a:ln>
                      </wps:spPr>
                      <wps:txbx>
                        <w:txbxContent>
                          <w:p w14:paraId="05752BB2" w14:textId="77777777" w:rsidR="00B74326" w:rsidRPr="00654A42" w:rsidRDefault="00B74326" w:rsidP="00B74326">
                            <w:pPr>
                              <w:pStyle w:val="Footer"/>
                              <w:tabs>
                                <w:tab w:val="clear" w:pos="4680"/>
                              </w:tabs>
                              <w:ind w:right="1"/>
                              <w:jc w:val="center"/>
                              <w:rPr>
                                <w:b/>
                                <w:color w:val="000000" w:themeColor="text1"/>
                                <w:sz w:val="2"/>
                                <w:szCs w:val="20"/>
                              </w:rPr>
                            </w:pPr>
                          </w:p>
                          <w:p w14:paraId="13F6BA46" w14:textId="6E717DEE" w:rsidR="00EF4C49" w:rsidRPr="0006264E" w:rsidRDefault="00EF4C49" w:rsidP="0006264E">
                            <w:pPr>
                              <w:pStyle w:val="Footer"/>
                              <w:tabs>
                                <w:tab w:val="clear" w:pos="4680"/>
                              </w:tabs>
                              <w:ind w:left="90" w:right="1"/>
                              <w:jc w:val="center"/>
                              <w:rPr>
                                <w:rFonts w:ascii="Arial Narrow" w:hAnsi="Arial Narrow" w:cstheme="minorHAnsi"/>
                                <w:b/>
                                <w:iCs/>
                                <w:color w:val="003399"/>
                                <w:sz w:val="32"/>
                                <w:szCs w:val="36"/>
                              </w:rPr>
                            </w:pPr>
                            <w:r w:rsidRPr="0006264E">
                              <w:rPr>
                                <w:rFonts w:ascii="Arial Narrow" w:hAnsi="Arial Narrow" w:cstheme="minorHAnsi"/>
                                <w:b/>
                                <w:iCs/>
                                <w:color w:val="003399"/>
                                <w:sz w:val="28"/>
                                <w:szCs w:val="32"/>
                              </w:rPr>
                              <w:t>Complimentary Financial Check-up</w:t>
                            </w:r>
                            <w:r w:rsidR="0006264E">
                              <w:rPr>
                                <w:rFonts w:cstheme="minorHAnsi"/>
                                <w:color w:val="003399"/>
                                <w:sz w:val="20"/>
                                <w:szCs w:val="20"/>
                              </w:rPr>
                              <w:br/>
                            </w:r>
                            <w:r w:rsidRPr="0006264E">
                              <w:rPr>
                                <w:rFonts w:cstheme="minorHAnsi"/>
                                <w:b/>
                                <w:bCs/>
                                <w:i/>
                                <w:iCs/>
                                <w:color w:val="003399"/>
                                <w:sz w:val="20"/>
                                <w:szCs w:val="20"/>
                              </w:rPr>
                              <w:t>One of our goals this year is to help more people with their financial decisions.</w:t>
                            </w:r>
                            <w:r w:rsidRPr="0006264E">
                              <w:rPr>
                                <w:rFonts w:cstheme="minorHAnsi"/>
                                <w:b/>
                                <w:bCs/>
                                <w:color w:val="003399"/>
                                <w:sz w:val="20"/>
                                <w:szCs w:val="20"/>
                              </w:rPr>
                              <w:t xml:space="preserve">  </w:t>
                            </w:r>
                            <w:r w:rsidRPr="0006264E">
                              <w:rPr>
                                <w:rFonts w:cstheme="minorHAnsi"/>
                                <w:color w:val="000000" w:themeColor="text1"/>
                                <w:sz w:val="20"/>
                                <w:szCs w:val="20"/>
                              </w:rPr>
                              <w:t xml:space="preserve">If you are not a client of </w:t>
                            </w:r>
                            <w:r w:rsidRPr="0006264E">
                              <w:rPr>
                                <w:rFonts w:cstheme="minorHAnsi"/>
                                <w:color w:val="000000" w:themeColor="text1"/>
                                <w:sz w:val="20"/>
                                <w:szCs w:val="20"/>
                                <w:highlight w:val="yellow"/>
                              </w:rPr>
                              <w:t>Your Company Name</w:t>
                            </w:r>
                            <w:r w:rsidRPr="0006264E">
                              <w:rPr>
                                <w:rFonts w:cstheme="minorHAnsi"/>
                                <w:color w:val="000000" w:themeColor="text1"/>
                                <w:sz w:val="20"/>
                                <w:szCs w:val="20"/>
                              </w:rPr>
                              <w:t xml:space="preserve">, we would like to offer you a complimentary, one-hour private consultation </w:t>
                            </w:r>
                            <w:r w:rsidR="0006264E">
                              <w:rPr>
                                <w:rFonts w:cstheme="minorHAnsi"/>
                                <w:color w:val="000000" w:themeColor="text1"/>
                                <w:sz w:val="20"/>
                                <w:szCs w:val="20"/>
                              </w:rPr>
                              <w:t>a</w:t>
                            </w:r>
                            <w:r w:rsidRPr="0006264E">
                              <w:rPr>
                                <w:rFonts w:cstheme="minorHAnsi"/>
                                <w:color w:val="000000" w:themeColor="text1"/>
                                <w:sz w:val="20"/>
                                <w:szCs w:val="20"/>
                              </w:rPr>
                              <w:t xml:space="preserve">t absolutely no cost or obligation. </w:t>
                            </w:r>
                            <w:r w:rsidR="004D20C5">
                              <w:rPr>
                                <w:rFonts w:cstheme="minorHAnsi"/>
                                <w:color w:val="000000" w:themeColor="text1"/>
                                <w:sz w:val="20"/>
                                <w:szCs w:val="20"/>
                              </w:rPr>
                              <w:br/>
                            </w:r>
                            <w:r w:rsidRPr="0006264E">
                              <w:rPr>
                                <w:rFonts w:cstheme="minorHAnsi"/>
                                <w:b/>
                                <w:bCs/>
                                <w:color w:val="000000" w:themeColor="text1"/>
                                <w:sz w:val="20"/>
                                <w:szCs w:val="20"/>
                              </w:rPr>
                              <w:t xml:space="preserve">Please call </w:t>
                            </w:r>
                            <w:r w:rsidRPr="0006264E">
                              <w:rPr>
                                <w:rFonts w:cstheme="minorHAnsi"/>
                                <w:b/>
                                <w:bCs/>
                                <w:color w:val="000000" w:themeColor="text1"/>
                                <w:sz w:val="20"/>
                                <w:szCs w:val="20"/>
                                <w:highlight w:val="yellow"/>
                              </w:rPr>
                              <w:t>xxx-xxx-xxxx</w:t>
                            </w:r>
                            <w:r w:rsidRPr="0006264E">
                              <w:rPr>
                                <w:rFonts w:cstheme="minorHAnsi"/>
                                <w:b/>
                                <w:bCs/>
                                <w:color w:val="000000" w:themeColor="text1"/>
                                <w:sz w:val="20"/>
                                <w:szCs w:val="20"/>
                              </w:rPr>
                              <w:t xml:space="preserve"> for more information or to schedule your check-up!</w:t>
                            </w:r>
                          </w:p>
                          <w:p w14:paraId="286C795D" w14:textId="77777777" w:rsidR="00D62C61" w:rsidRPr="0006264E" w:rsidRDefault="00D62C61" w:rsidP="00B74326">
                            <w:pPr>
                              <w:spacing w:line="240" w:lineRule="auto"/>
                              <w:rPr>
                                <w:b/>
                                <w:bCs/>
                                <w:sz w:val="14"/>
                                <w:szCs w:val="14"/>
                              </w:rPr>
                            </w:pPr>
                          </w:p>
                          <w:p w14:paraId="3C141BCC" w14:textId="77777777" w:rsidR="00B74326" w:rsidRPr="008B0826" w:rsidRDefault="00B74326" w:rsidP="00B74326">
                            <w:pPr>
                              <w:pStyle w:val="Footer"/>
                              <w:ind w:right="75"/>
                              <w:jc w:val="center"/>
                              <w:rPr>
                                <w:b/>
                                <w:color w:val="171717" w:themeColor="background2" w:themeShade="1A"/>
                                <w:sz w:val="16"/>
                                <w:szCs w:val="18"/>
                              </w:rPr>
                            </w:pPr>
                          </w:p>
                          <w:p w14:paraId="6A7B4476" w14:textId="77777777" w:rsidR="00B74326" w:rsidRPr="008B0826" w:rsidRDefault="00B74326" w:rsidP="00B74326">
                            <w:pPr>
                              <w:pStyle w:val="Footer"/>
                              <w:tabs>
                                <w:tab w:val="clear" w:pos="4680"/>
                              </w:tabs>
                              <w:ind w:right="2153"/>
                              <w:jc w:val="center"/>
                              <w:rPr>
                                <w:b/>
                                <w:color w:val="000000" w:themeColor="text1"/>
                                <w:sz w:val="14"/>
                              </w:rPr>
                            </w:pPr>
                          </w:p>
                          <w:p w14:paraId="15FE5D87" w14:textId="77777777" w:rsidR="00B74326" w:rsidRPr="008B0826" w:rsidRDefault="00B74326" w:rsidP="00B74326">
                            <w:pPr>
                              <w:jc w:val="center"/>
                              <w:rPr>
                                <w:sz w:val="16"/>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80419" id="Text Box 14" o:spid="_x0000_s1029" type="#_x0000_t202" style="position:absolute;left:0;text-align:left;margin-left:0;margin-top:33.6pt;width:546.75pt;height:62.05pt;z-index:251686912;visibility:visible;mso-wrap-style:square;mso-width-percent:0;mso-height-percent:0;mso-wrap-distance-left:9pt;mso-wrap-distance-top:3.6pt;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3BMAIAAEwEAAAOAAAAZHJzL2Uyb0RvYy54bWysVNtu2zAMfR+wfxD0vjpJ0yYx6hRtugwD&#10;ugvQ7QNkWbaFyaJGKbGzry8lp2nXvg3zgyCK4iF5eOSr66EzbK/Qa7AFn55NOFNWQqVtU/CfP7Yf&#10;lpz5IGwlDFhV8IPy/Hr9/t1V73I1gxZMpZARiPV57wrehuDyLPOyVZ3wZ+CUJWcN2IlAJjZZhaIn&#10;9M5ks8nkMusBK4cglfd0ejc6+Trh17WS4VtdexWYKTjVFtKKaS3jmq2vRN6gcK2WxzLEP1TRCW0p&#10;6QnqTgTBdqjfQHVaIniow5mELoO61lKlHqib6eRVNw+tcCr1QuR4d6LJ/z9Y+XX/4L4jC8MtDDTA&#10;1IR39yB/eWZh0wrbqBtE6FslKko8jZRlvfP5MTRS7XMfQcr+C1Q0ZLELkICGGrvICvXJCJ0GcDiR&#10;robAJB1erubni9kFZ5J8i+ViNR9TiPwp2qEPnxR0LG4KjjTUhC729z7EakT+dCUm82B0tdXGJCMK&#10;SW0Msr0gCZTNE/hft4xlfcFXF1TGWwRsylP85e1yu9kmCl4lihXcCd+OefzBR2OUV6cDadzoruDL&#10;SfzG40joR1slBQahzbinZow9MhxJHekNQzkwXRX8PMZGwkuoDkQ5wihpeoK0aQH/cNaTnAvuf+8E&#10;Ks7MZ0tjW03n86j/ZMwvFjMy8KWnfOkRVhJUwQNn43YTxjezc6ibljKNQrFwQ6OudZrCc1XH8kmy&#10;aTjH5xXfxEs73Xr+CawfAQAA//8DAFBLAwQUAAYACAAAACEAbPu8BN0AAAAIAQAADwAAAGRycy9k&#10;b3ducmV2LnhtbEyPwU7DMAyG70i8Q2QkbizZBoOWptMEGmKcYEyc08a0FY1TNVnXvj3eCW62/l+f&#10;P2fr0bViwD40njTMZwoEUultQ5WGw+f25gFEiIasaT2hhgkDrPPLi8yk1p/oA4d9rARDKKRGQx1j&#10;l0oZyhqdCTPfIXH27XtnIq99JW1vTgx3rVwotZLONMQXatPhU43lz/7oNKgp2Q5Jt8Hn4uXrfXq7&#10;fR0PO6/19dW4eQQRcYx/ZTjrszrk7FT4I9kgWmZwT8PqfgHinKpkeQei4CmZL0Hmmfz/QP4LAAD/&#10;/wMAUEsBAi0AFAAGAAgAAAAhALaDOJL+AAAA4QEAABMAAAAAAAAAAAAAAAAAAAAAAFtDb250ZW50&#10;X1R5cGVzXS54bWxQSwECLQAUAAYACAAAACEAOP0h/9YAAACUAQAACwAAAAAAAAAAAAAAAAAvAQAA&#10;X3JlbHMvLnJlbHNQSwECLQAUAAYACAAAACEAYX89wTACAABMBAAADgAAAAAAAAAAAAAAAAAuAgAA&#10;ZHJzL2Uyb0RvYy54bWxQSwECLQAUAAYACAAAACEAbPu8BN0AAAAIAQAADwAAAAAAAAAAAAAAAACK&#10;BAAAZHJzL2Rvd25yZXYueG1sUEsFBgAAAAAEAAQA8wAAAJQFAAAAAA==&#10;" fillcolor="white [3212]" strokecolor="#6b8fcf">
                <v:stroke dashstyle="3 1"/>
                <v:textbox>
                  <w:txbxContent>
                    <w:p w14:paraId="05752BB2" w14:textId="77777777" w:rsidR="00B74326" w:rsidRPr="00654A42" w:rsidRDefault="00B74326" w:rsidP="00B74326">
                      <w:pPr>
                        <w:pStyle w:val="Footer"/>
                        <w:tabs>
                          <w:tab w:val="clear" w:pos="4680"/>
                        </w:tabs>
                        <w:ind w:right="1"/>
                        <w:jc w:val="center"/>
                        <w:rPr>
                          <w:b/>
                          <w:color w:val="000000" w:themeColor="text1"/>
                          <w:sz w:val="2"/>
                          <w:szCs w:val="20"/>
                        </w:rPr>
                      </w:pPr>
                    </w:p>
                    <w:p w14:paraId="13F6BA46" w14:textId="6E717DEE" w:rsidR="00EF4C49" w:rsidRPr="0006264E" w:rsidRDefault="00EF4C49" w:rsidP="0006264E">
                      <w:pPr>
                        <w:pStyle w:val="Footer"/>
                        <w:tabs>
                          <w:tab w:val="clear" w:pos="4680"/>
                        </w:tabs>
                        <w:ind w:left="90" w:right="1"/>
                        <w:jc w:val="center"/>
                        <w:rPr>
                          <w:rFonts w:ascii="Arial Narrow" w:hAnsi="Arial Narrow" w:cstheme="minorHAnsi"/>
                          <w:b/>
                          <w:iCs/>
                          <w:color w:val="003399"/>
                          <w:sz w:val="32"/>
                          <w:szCs w:val="36"/>
                        </w:rPr>
                      </w:pPr>
                      <w:r w:rsidRPr="0006264E">
                        <w:rPr>
                          <w:rFonts w:ascii="Arial Narrow" w:hAnsi="Arial Narrow" w:cstheme="minorHAnsi"/>
                          <w:b/>
                          <w:iCs/>
                          <w:color w:val="003399"/>
                          <w:sz w:val="28"/>
                          <w:szCs w:val="32"/>
                        </w:rPr>
                        <w:t>Complimentary Financial Check-up</w:t>
                      </w:r>
                      <w:r w:rsidR="0006264E">
                        <w:rPr>
                          <w:rFonts w:cstheme="minorHAnsi"/>
                          <w:color w:val="003399"/>
                          <w:sz w:val="20"/>
                          <w:szCs w:val="20"/>
                        </w:rPr>
                        <w:br/>
                      </w:r>
                      <w:r w:rsidRPr="0006264E">
                        <w:rPr>
                          <w:rFonts w:cstheme="minorHAnsi"/>
                          <w:b/>
                          <w:bCs/>
                          <w:i/>
                          <w:iCs/>
                          <w:color w:val="003399"/>
                          <w:sz w:val="20"/>
                          <w:szCs w:val="20"/>
                        </w:rPr>
                        <w:t>One of our goals this year is to help more people with their financial decisions.</w:t>
                      </w:r>
                      <w:r w:rsidRPr="0006264E">
                        <w:rPr>
                          <w:rFonts w:cstheme="minorHAnsi"/>
                          <w:b/>
                          <w:bCs/>
                          <w:color w:val="003399"/>
                          <w:sz w:val="20"/>
                          <w:szCs w:val="20"/>
                        </w:rPr>
                        <w:t xml:space="preserve">  </w:t>
                      </w:r>
                      <w:r w:rsidRPr="0006264E">
                        <w:rPr>
                          <w:rFonts w:cstheme="minorHAnsi"/>
                          <w:color w:val="000000" w:themeColor="text1"/>
                          <w:sz w:val="20"/>
                          <w:szCs w:val="20"/>
                        </w:rPr>
                        <w:t xml:space="preserve">If you are not a client of </w:t>
                      </w:r>
                      <w:r w:rsidRPr="0006264E">
                        <w:rPr>
                          <w:rFonts w:cstheme="minorHAnsi"/>
                          <w:color w:val="000000" w:themeColor="text1"/>
                          <w:sz w:val="20"/>
                          <w:szCs w:val="20"/>
                          <w:highlight w:val="yellow"/>
                        </w:rPr>
                        <w:t>Your Company Name</w:t>
                      </w:r>
                      <w:r w:rsidRPr="0006264E">
                        <w:rPr>
                          <w:rFonts w:cstheme="minorHAnsi"/>
                          <w:color w:val="000000" w:themeColor="text1"/>
                          <w:sz w:val="20"/>
                          <w:szCs w:val="20"/>
                        </w:rPr>
                        <w:t xml:space="preserve">, we would like to offer you a complimentary, one-hour private consultation </w:t>
                      </w:r>
                      <w:r w:rsidR="0006264E">
                        <w:rPr>
                          <w:rFonts w:cstheme="minorHAnsi"/>
                          <w:color w:val="000000" w:themeColor="text1"/>
                          <w:sz w:val="20"/>
                          <w:szCs w:val="20"/>
                        </w:rPr>
                        <w:t>a</w:t>
                      </w:r>
                      <w:r w:rsidRPr="0006264E">
                        <w:rPr>
                          <w:rFonts w:cstheme="minorHAnsi"/>
                          <w:color w:val="000000" w:themeColor="text1"/>
                          <w:sz w:val="20"/>
                          <w:szCs w:val="20"/>
                        </w:rPr>
                        <w:t xml:space="preserve">t absolutely no cost or obligation. </w:t>
                      </w:r>
                      <w:r w:rsidR="004D20C5">
                        <w:rPr>
                          <w:rFonts w:cstheme="minorHAnsi"/>
                          <w:color w:val="000000" w:themeColor="text1"/>
                          <w:sz w:val="20"/>
                          <w:szCs w:val="20"/>
                        </w:rPr>
                        <w:br/>
                      </w:r>
                      <w:r w:rsidRPr="0006264E">
                        <w:rPr>
                          <w:rFonts w:cstheme="minorHAnsi"/>
                          <w:b/>
                          <w:bCs/>
                          <w:color w:val="000000" w:themeColor="text1"/>
                          <w:sz w:val="20"/>
                          <w:szCs w:val="20"/>
                        </w:rPr>
                        <w:t xml:space="preserve">Please call </w:t>
                      </w:r>
                      <w:r w:rsidRPr="0006264E">
                        <w:rPr>
                          <w:rFonts w:cstheme="minorHAnsi"/>
                          <w:b/>
                          <w:bCs/>
                          <w:color w:val="000000" w:themeColor="text1"/>
                          <w:sz w:val="20"/>
                          <w:szCs w:val="20"/>
                          <w:highlight w:val="yellow"/>
                        </w:rPr>
                        <w:t>xxx-xxx-xxxx</w:t>
                      </w:r>
                      <w:r w:rsidRPr="0006264E">
                        <w:rPr>
                          <w:rFonts w:cstheme="minorHAnsi"/>
                          <w:b/>
                          <w:bCs/>
                          <w:color w:val="000000" w:themeColor="text1"/>
                          <w:sz w:val="20"/>
                          <w:szCs w:val="20"/>
                        </w:rPr>
                        <w:t xml:space="preserve"> for more information or to schedule your check-up!</w:t>
                      </w:r>
                    </w:p>
                    <w:p w14:paraId="286C795D" w14:textId="77777777" w:rsidR="00D62C61" w:rsidRPr="0006264E" w:rsidRDefault="00D62C61" w:rsidP="00B74326">
                      <w:pPr>
                        <w:spacing w:line="240" w:lineRule="auto"/>
                        <w:rPr>
                          <w:b/>
                          <w:bCs/>
                          <w:sz w:val="14"/>
                          <w:szCs w:val="14"/>
                        </w:rPr>
                      </w:pPr>
                    </w:p>
                    <w:p w14:paraId="3C141BCC" w14:textId="77777777" w:rsidR="00B74326" w:rsidRPr="008B0826" w:rsidRDefault="00B74326" w:rsidP="00B74326">
                      <w:pPr>
                        <w:pStyle w:val="Footer"/>
                        <w:ind w:right="75"/>
                        <w:jc w:val="center"/>
                        <w:rPr>
                          <w:b/>
                          <w:color w:val="171717" w:themeColor="background2" w:themeShade="1A"/>
                          <w:sz w:val="16"/>
                          <w:szCs w:val="18"/>
                        </w:rPr>
                      </w:pPr>
                    </w:p>
                    <w:p w14:paraId="6A7B4476" w14:textId="77777777" w:rsidR="00B74326" w:rsidRPr="008B0826" w:rsidRDefault="00B74326" w:rsidP="00B74326">
                      <w:pPr>
                        <w:pStyle w:val="Footer"/>
                        <w:tabs>
                          <w:tab w:val="clear" w:pos="4680"/>
                        </w:tabs>
                        <w:ind w:right="2153"/>
                        <w:jc w:val="center"/>
                        <w:rPr>
                          <w:b/>
                          <w:color w:val="000000" w:themeColor="text1"/>
                          <w:sz w:val="14"/>
                        </w:rPr>
                      </w:pPr>
                    </w:p>
                    <w:p w14:paraId="15FE5D87" w14:textId="77777777" w:rsidR="00B74326" w:rsidRPr="008B0826" w:rsidRDefault="00B74326" w:rsidP="00B74326">
                      <w:pPr>
                        <w:jc w:val="center"/>
                        <w:rPr>
                          <w:sz w:val="16"/>
                          <w:szCs w:val="18"/>
                        </w:rPr>
                      </w:pPr>
                    </w:p>
                  </w:txbxContent>
                </v:textbox>
                <w10:wrap type="square" anchorx="margin"/>
              </v:shape>
            </w:pict>
          </mc:Fallback>
        </mc:AlternateContent>
      </w:r>
      <w:r w:rsidR="005147BF" w:rsidRPr="001F775A">
        <w:rPr>
          <w:rFonts w:eastAsia="Times New Roman" w:cstheme="minorHAnsi"/>
          <w:color w:val="000000" w:themeColor="text1"/>
        </w:rPr>
        <w:t>Are in a high tax bracket now and expect to be in a lower tax bracket in the future.</w:t>
      </w:r>
    </w:p>
    <w:p w14:paraId="5B7BC168" w14:textId="0DCAD38B" w:rsidR="005147BF" w:rsidRPr="001F775A"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Plan to relocate to a lower or no income tax state.</w:t>
      </w:r>
      <w:r w:rsidR="009249F1" w:rsidRPr="001F775A">
        <w:rPr>
          <w:rFonts w:eastAsia="Times New Roman" w:cstheme="minorHAnsi"/>
          <w:color w:val="000000" w:themeColor="text1"/>
        </w:rPr>
        <w:br/>
      </w:r>
      <w:r w:rsidR="009249F1" w:rsidRPr="001F775A">
        <w:rPr>
          <w:noProof/>
          <w:color w:val="000000" w:themeColor="text1"/>
        </w:rPr>
        <w:br/>
      </w:r>
      <w:r w:rsidRPr="001F775A">
        <w:rPr>
          <w:noProof/>
          <w:color w:val="000000" w:themeColor="text1"/>
        </w:rPr>
        <w:drawing>
          <wp:anchor distT="0" distB="0" distL="114300" distR="114300" simplePos="0" relativeHeight="251676672" behindDoc="0" locked="0" layoutInCell="1" allowOverlap="1" wp14:anchorId="21841B36" wp14:editId="5565F70A">
            <wp:simplePos x="0" y="0"/>
            <wp:positionH relativeFrom="column">
              <wp:posOffset>5239385</wp:posOffset>
            </wp:positionH>
            <wp:positionV relativeFrom="paragraph">
              <wp:posOffset>1607185</wp:posOffset>
            </wp:positionV>
            <wp:extent cx="1152525" cy="155067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9350" cy="1550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F775A">
        <w:rPr>
          <w:rFonts w:eastAsia="Times New Roman" w:cstheme="minorHAnsi"/>
          <w:b/>
          <w:color w:val="000000" w:themeColor="text1"/>
        </w:rPr>
        <w:t xml:space="preserve">Note: </w:t>
      </w:r>
      <w:r w:rsidRPr="001F775A">
        <w:rPr>
          <w:rFonts w:eastAsia="Times New Roman" w:cstheme="minorHAnsi"/>
          <w:color w:val="000000" w:themeColor="text1"/>
        </w:rPr>
        <w:t xml:space="preserve">While Backdoor Roth IRAs can be beneficial to many investors, they </w:t>
      </w:r>
      <w:r w:rsidR="00A61189" w:rsidRPr="001F775A">
        <w:rPr>
          <w:rFonts w:eastAsia="Times New Roman" w:cstheme="minorHAnsi"/>
          <w:color w:val="000000" w:themeColor="text1"/>
        </w:rPr>
        <w:t>are not</w:t>
      </w:r>
      <w:r w:rsidRPr="001F775A">
        <w:rPr>
          <w:rFonts w:eastAsia="Times New Roman" w:cstheme="minorHAnsi"/>
          <w:color w:val="000000" w:themeColor="text1"/>
        </w:rPr>
        <w:t xml:space="preserve"> for everyone. They come with their limitations and complications. There are precautions that need to be taken to reap the full benefits of any financial decision. </w:t>
      </w:r>
      <w:r w:rsidRPr="001F775A">
        <w:rPr>
          <w:rFonts w:eastAsia="Times New Roman" w:cstheme="minorHAnsi"/>
          <w:b/>
          <w:color w:val="000000" w:themeColor="text1"/>
        </w:rPr>
        <w:t>Please consult and review your situation with a qualified professional prior to choosing to use this strategy.</w:t>
      </w:r>
    </w:p>
    <w:p w14:paraId="35B7A9C5" w14:textId="5FA65D22" w:rsidR="005147BF" w:rsidRDefault="005147BF" w:rsidP="005147BF">
      <w:pPr>
        <w:spacing w:after="0" w:line="240" w:lineRule="auto"/>
        <w:jc w:val="both"/>
        <w:rPr>
          <w:rFonts w:eastAsia="Times New Roman" w:cstheme="minorHAnsi"/>
          <w:b/>
          <w:color w:val="0D0D0D" w:themeColor="text1" w:themeTint="F2"/>
        </w:rPr>
      </w:pPr>
    </w:p>
    <w:p w14:paraId="61F8AF20" w14:textId="77777777"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Conclusion</w:t>
      </w:r>
    </w:p>
    <w:p w14:paraId="1C63402F" w14:textId="6DE8FC72" w:rsidR="005147BF" w:rsidRDefault="00654A42" w:rsidP="005147BF">
      <w:pPr>
        <w:spacing w:after="0" w:line="240" w:lineRule="auto"/>
        <w:jc w:val="both"/>
        <w:rPr>
          <w:rFonts w:eastAsia="Times New Roman" w:cstheme="minorHAnsi"/>
        </w:rPr>
      </w:pPr>
      <w:r>
        <w:rPr>
          <w:rFonts w:eastAsia="Times New Roman" w:cstheme="minorHAnsi"/>
          <w:b/>
          <w:bCs/>
          <w:sz w:val="8"/>
          <w:szCs w:val="8"/>
        </w:rPr>
        <w:br/>
      </w:r>
      <w:r w:rsidR="00A61189" w:rsidRPr="00095FA5">
        <w:rPr>
          <w:rFonts w:eastAsia="Times New Roman" w:cstheme="minorHAnsi"/>
          <w:b/>
          <w:bCs/>
        </w:rPr>
        <w:t>To</w:t>
      </w:r>
      <w:r w:rsidR="005147BF" w:rsidRPr="00095FA5">
        <w:rPr>
          <w:rFonts w:eastAsia="Times New Roman" w:cstheme="minorHAnsi"/>
          <w:b/>
          <w:bCs/>
        </w:rPr>
        <w:t xml:space="preserve"> further discuss funding your retirement plans, </w:t>
      </w:r>
      <w:r w:rsidR="008116A6">
        <w:rPr>
          <w:rFonts w:eastAsia="Times New Roman" w:cstheme="minorHAnsi"/>
          <w:b/>
          <w:bCs/>
        </w:rPr>
        <w:t xml:space="preserve">or to schedule a beneficiary review, </w:t>
      </w:r>
      <w:r w:rsidR="005147BF" w:rsidRPr="00095FA5">
        <w:rPr>
          <w:rFonts w:eastAsia="Times New Roman" w:cstheme="minorHAnsi"/>
          <w:b/>
          <w:bCs/>
        </w:rPr>
        <w:t>please call us</w:t>
      </w:r>
      <w:r w:rsidR="005147BF">
        <w:rPr>
          <w:rFonts w:eastAsia="Times New Roman" w:cstheme="minorHAnsi"/>
        </w:rPr>
        <w:t xml:space="preserve">. This is an area where a highly informed financial </w:t>
      </w:r>
      <w:r w:rsidR="00C80E0C">
        <w:rPr>
          <w:szCs w:val="20"/>
        </w:rPr>
        <w:t xml:space="preserve">professional </w:t>
      </w:r>
      <w:r w:rsidR="005147BF">
        <w:rPr>
          <w:rFonts w:eastAsia="Times New Roman" w:cstheme="minorHAnsi"/>
        </w:rPr>
        <w:t>can help you make an educated and calculated decision</w:t>
      </w:r>
      <w:r w:rsidR="008116A6">
        <w:rPr>
          <w:rFonts w:eastAsia="Times New Roman" w:cstheme="minorHAnsi"/>
        </w:rPr>
        <w:t xml:space="preserve">. </w:t>
      </w:r>
      <w:r w:rsidR="005147BF">
        <w:rPr>
          <w:rFonts w:eastAsia="Times New Roman" w:cstheme="minorHAnsi"/>
        </w:rPr>
        <w:t>As with all tax sensitive decisions, you should always consult with your financial and tax professional to help avoid tax ramifications.</w:t>
      </w:r>
    </w:p>
    <w:p w14:paraId="3BB58A89" w14:textId="63C078BE" w:rsidR="00A61189" w:rsidRDefault="00A61189" w:rsidP="00A61189">
      <w:pPr>
        <w:spacing w:after="0" w:line="240" w:lineRule="auto"/>
        <w:jc w:val="both"/>
        <w:rPr>
          <w:rFonts w:eastAsia="Times New Roman" w:cstheme="minorHAnsi"/>
        </w:rPr>
        <w:sectPr w:rsidR="00A61189" w:rsidSect="00FD58A8">
          <w:type w:val="continuous"/>
          <w:pgSz w:w="12240" w:h="15840"/>
          <w:pgMar w:top="720" w:right="630" w:bottom="720" w:left="720" w:header="720" w:footer="720" w:gutter="0"/>
          <w:cols w:num="2" w:space="360"/>
        </w:sectPr>
      </w:pPr>
    </w:p>
    <w:p w14:paraId="4A4F1B3F" w14:textId="75B6560F" w:rsidR="005147BF" w:rsidRPr="002E1DCA" w:rsidRDefault="00D62C61" w:rsidP="00A61189">
      <w:pPr>
        <w:spacing w:after="0" w:line="240" w:lineRule="auto"/>
        <w:jc w:val="center"/>
        <w:rPr>
          <w:rFonts w:ascii="Arial Narrow" w:eastAsia="Calibri" w:hAnsi="Arial Narrow" w:cs="Times New Roman"/>
          <w:color w:val="3B3838" w:themeColor="background2" w:themeShade="40"/>
          <w:sz w:val="14"/>
          <w:szCs w:val="16"/>
        </w:rPr>
      </w:pPr>
      <w:r>
        <w:rPr>
          <w:rFonts w:ascii="Arial Narrow" w:eastAsia="Calibri" w:hAnsi="Arial Narrow" w:cs="Times New Roman"/>
          <w:color w:val="3B3838" w:themeColor="background2" w:themeShade="40"/>
          <w:sz w:val="14"/>
          <w:szCs w:val="16"/>
          <w:highlight w:val="yellow"/>
        </w:rPr>
        <w:br/>
      </w:r>
      <w:r w:rsidR="005147BF" w:rsidRPr="0006264E">
        <w:rPr>
          <w:rFonts w:ascii="Arial Narrow" w:eastAsia="Calibri" w:hAnsi="Arial Narrow" w:cs="Times New Roman"/>
          <w:color w:val="3B3838" w:themeColor="background2" w:themeShade="40"/>
          <w:sz w:val="16"/>
          <w:szCs w:val="18"/>
          <w:highlight w:val="yellow"/>
        </w:rPr>
        <w:t>Insert Approved BD Disclaimer and Contact Information</w:t>
      </w:r>
    </w:p>
    <w:p w14:paraId="57D52470" w14:textId="2384D0E4" w:rsidR="005147BF" w:rsidRPr="0006264E" w:rsidRDefault="00A05BA3" w:rsidP="005147BF">
      <w:pPr>
        <w:spacing w:line="240" w:lineRule="auto"/>
        <w:jc w:val="both"/>
        <w:rPr>
          <w:rFonts w:ascii="Arial Narrow" w:eastAsia="Calibri" w:hAnsi="Arial Narrow" w:cs="Times New Roman"/>
          <w:color w:val="3B3838" w:themeColor="background2" w:themeShade="40"/>
          <w:sz w:val="16"/>
          <w:szCs w:val="16"/>
        </w:rPr>
      </w:pPr>
      <w:r>
        <w:rPr>
          <w:rFonts w:ascii="Arial Narrow" w:eastAsia="Calibri" w:hAnsi="Arial Narrow" w:cs="Times New Roman"/>
          <w:color w:val="3B3838" w:themeColor="background2" w:themeShade="40"/>
          <w:sz w:val="14"/>
          <w:szCs w:val="14"/>
        </w:rPr>
        <w:br/>
      </w:r>
      <w:r w:rsidR="005147BF" w:rsidRPr="0006264E">
        <w:rPr>
          <w:rFonts w:ascii="Arial Narrow" w:eastAsia="Calibri" w:hAnsi="Arial Narrow" w:cs="Times New Roman"/>
          <w:color w:val="3B3838" w:themeColor="background2" w:themeShade="40"/>
          <w:sz w:val="16"/>
          <w:szCs w:val="16"/>
        </w:rPr>
        <w:t>This article is for informational purposes only.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 but we do not guarantee that the foregoing material is accurate or complete. Any information is not a complete summary or statement of all available data necessary for making an investment decision and does not constitute a recommendation.</w:t>
      </w:r>
    </w:p>
    <w:p w14:paraId="071D0976" w14:textId="4820A3FF" w:rsidR="001E1A41" w:rsidRPr="0006264E" w:rsidRDefault="005147BF" w:rsidP="00A61189">
      <w:pPr>
        <w:spacing w:line="240" w:lineRule="auto"/>
        <w:jc w:val="both"/>
        <w:rPr>
          <w:rFonts w:ascii="Arial Narrow" w:eastAsia="Calibri" w:hAnsi="Arial Narrow" w:cs="Times New Roman"/>
          <w:color w:val="3B3838" w:themeColor="background2" w:themeShade="40"/>
          <w:sz w:val="16"/>
          <w:szCs w:val="16"/>
        </w:rPr>
      </w:pPr>
      <w:r w:rsidRPr="0006264E">
        <w:rPr>
          <w:rFonts w:ascii="Arial Narrow" w:eastAsia="Calibri" w:hAnsi="Arial Narrow" w:cs="Times New Roman"/>
          <w:color w:val="3B3838" w:themeColor="background2" w:themeShade="40"/>
          <w:sz w:val="16"/>
          <w:szCs w:val="16"/>
        </w:rPr>
        <w:t xml:space="preserve">Contributions to a traditional IRA may be tax deductible in the contribution year, with current income tax due at withdrawal. Withdrawals prior to age 59 ½ may result in a 10% IRS penalty tax in addition to current income tax. Traditional IRA account owners should consider the tax ramifications, age and income restrictions </w:t>
      </w:r>
      <w:r w:rsidR="0090591F" w:rsidRPr="0006264E">
        <w:rPr>
          <w:rFonts w:ascii="Arial Narrow" w:eastAsia="Calibri" w:hAnsi="Arial Narrow" w:cs="Times New Roman"/>
          <w:color w:val="3B3838" w:themeColor="background2" w:themeShade="40"/>
          <w:sz w:val="16"/>
          <w:szCs w:val="16"/>
        </w:rPr>
        <w:t>in regard to</w:t>
      </w:r>
      <w:r w:rsidRPr="0006264E">
        <w:rPr>
          <w:rFonts w:ascii="Arial Narrow" w:eastAsia="Calibri" w:hAnsi="Arial Narrow" w:cs="Times New Roman"/>
          <w:color w:val="3B3838" w:themeColor="background2" w:themeShade="40"/>
          <w:sz w:val="16"/>
          <w:szCs w:val="16"/>
        </w:rPr>
        <w:t xml:space="preserve"> executing a conversion from a Traditional IRA to a Roth IRA. The converted amount is generally subject to income taxation. 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IRA’s and ROTH conversions require understanding of specific rules, for complete rules on IRA’s (including who qualifies), please visit </w:t>
      </w:r>
      <w:hyperlink r:id="rId18" w:history="1">
        <w:r w:rsidRPr="0006264E">
          <w:rPr>
            <w:rStyle w:val="Hyperlink"/>
            <w:rFonts w:ascii="Arial Narrow" w:hAnsi="Arial Narrow"/>
            <w:color w:val="3B3838" w:themeColor="background2" w:themeShade="40"/>
            <w:sz w:val="16"/>
            <w:szCs w:val="16"/>
          </w:rPr>
          <w:t>www.IRS.GOV</w:t>
        </w:r>
      </w:hyperlink>
      <w:r w:rsidRPr="0006264E">
        <w:rPr>
          <w:rFonts w:ascii="Arial Narrow" w:eastAsia="Calibri" w:hAnsi="Arial Narrow" w:cs="Times New Roman"/>
          <w:color w:val="3B3838" w:themeColor="background2" w:themeShade="40"/>
          <w:sz w:val="16"/>
          <w:szCs w:val="16"/>
        </w:rPr>
        <w:t xml:space="preserve"> Publication 590a or consult with a qualified professional. </w:t>
      </w:r>
      <w:r w:rsidR="001E1A41" w:rsidRPr="0006264E">
        <w:rPr>
          <w:rFonts w:ascii="Arial Narrow" w:eastAsia="Calibri" w:hAnsi="Arial Narrow" w:cs="Times New Roman"/>
          <w:color w:val="3B3838" w:themeColor="background2" w:themeShade="40"/>
          <w:sz w:val="16"/>
          <w:szCs w:val="16"/>
        </w:rPr>
        <w:t xml:space="preserve">This information is not intended to be a substitute for specific individualized tax advice. We suggest that you discuss your specific situation with a qualified tax professional. </w:t>
      </w:r>
    </w:p>
    <w:p w14:paraId="499E5E92" w14:textId="274039FE" w:rsidR="00BE44F2" w:rsidRPr="0006264E" w:rsidRDefault="0006264E" w:rsidP="00D03B33">
      <w:pPr>
        <w:spacing w:line="240" w:lineRule="auto"/>
        <w:jc w:val="both"/>
        <w:rPr>
          <w:rFonts w:ascii="Arial Narrow" w:eastAsia="Calibri" w:hAnsi="Arial Narrow" w:cs="Times New Roman"/>
          <w:color w:val="3B3838" w:themeColor="background2" w:themeShade="40"/>
          <w:sz w:val="16"/>
          <w:szCs w:val="16"/>
        </w:rPr>
      </w:pPr>
      <w:r w:rsidRPr="0006264E">
        <w:rPr>
          <w:rFonts w:ascii="Arial Narrow" w:eastAsiaTheme="minorEastAsia" w:hAnsi="Arial Narrow" w:cstheme="minorHAnsi"/>
          <w:b/>
          <w:i/>
          <w:noProof/>
          <w:color w:val="FFFF00"/>
          <w:sz w:val="16"/>
          <w:szCs w:val="16"/>
        </w:rPr>
        <w:drawing>
          <wp:anchor distT="0" distB="0" distL="114300" distR="114300" simplePos="0" relativeHeight="251719680" behindDoc="0" locked="0" layoutInCell="1" allowOverlap="1" wp14:anchorId="1B1FC464" wp14:editId="0F2A0F82">
            <wp:simplePos x="0" y="0"/>
            <wp:positionH relativeFrom="margin">
              <wp:align>right</wp:align>
            </wp:positionH>
            <wp:positionV relativeFrom="paragraph">
              <wp:posOffset>186055</wp:posOffset>
            </wp:positionV>
            <wp:extent cx="6858000" cy="2476500"/>
            <wp:effectExtent l="0" t="0" r="0" b="0"/>
            <wp:wrapNone/>
            <wp:docPr id="1537649470" name="Picture 4"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49470" name="Picture 4" descr="A person sitting on a chai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476500"/>
                    </a:xfrm>
                    <a:prstGeom prst="rect">
                      <a:avLst/>
                    </a:prstGeom>
                    <a:noFill/>
                  </pic:spPr>
                </pic:pic>
              </a:graphicData>
            </a:graphic>
            <wp14:sizeRelH relativeFrom="page">
              <wp14:pctWidth>0</wp14:pctWidth>
            </wp14:sizeRelH>
            <wp14:sizeRelV relativeFrom="page">
              <wp14:pctHeight>0</wp14:pctHeight>
            </wp14:sizeRelV>
          </wp:anchor>
        </w:drawing>
      </w:r>
      <w:r w:rsidR="005147BF" w:rsidRPr="0006264E">
        <w:rPr>
          <w:rFonts w:ascii="Arial Narrow" w:eastAsia="Calibri" w:hAnsi="Arial Narrow" w:cs="Times New Roman"/>
          <w:color w:val="3B3838" w:themeColor="background2" w:themeShade="40"/>
          <w:sz w:val="16"/>
          <w:szCs w:val="16"/>
        </w:rPr>
        <w:t>Source: www.irs.gov. Contents Provided by The Academy of Preferred Financial Advisors, Inc.</w:t>
      </w:r>
      <w:r w:rsidR="00952D45" w:rsidRPr="0006264E">
        <w:rPr>
          <w:noProof/>
          <w:color w:val="FFFFFF" w:themeColor="background1"/>
          <w:sz w:val="16"/>
          <w:szCs w:val="16"/>
        </w:rPr>
        <w:t xml:space="preserve"> </w:t>
      </w:r>
    </w:p>
    <w:p w14:paraId="3C991ACB" w14:textId="3E3582FF" w:rsidR="00952D45" w:rsidRPr="00952D45" w:rsidRDefault="00952D45" w:rsidP="00952D45">
      <w:pPr>
        <w:tabs>
          <w:tab w:val="left" w:pos="-270"/>
        </w:tabs>
        <w:ind w:left="-90" w:right="450"/>
        <w:jc w:val="center"/>
        <w:rPr>
          <w:rFonts w:ascii="Arial Narrow" w:eastAsiaTheme="minorEastAsia" w:hAnsi="Arial Narrow" w:cstheme="minorHAnsi"/>
          <w:b/>
          <w:i/>
          <w:color w:val="FFFF00"/>
          <w:sz w:val="12"/>
          <w:szCs w:val="14"/>
        </w:rPr>
      </w:pPr>
    </w:p>
    <w:sectPr w:rsidR="00952D45" w:rsidRPr="00952D45" w:rsidSect="00FD58A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2D2FD" w14:textId="77777777" w:rsidR="00F72B83" w:rsidRDefault="00F72B83" w:rsidP="000D5B82">
      <w:pPr>
        <w:spacing w:after="0" w:line="240" w:lineRule="auto"/>
      </w:pPr>
      <w:r>
        <w:separator/>
      </w:r>
    </w:p>
  </w:endnote>
  <w:endnote w:type="continuationSeparator" w:id="0">
    <w:p w14:paraId="4DD4D62B" w14:textId="77777777" w:rsidR="00F72B83" w:rsidRDefault="00F72B83" w:rsidP="000D5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8FDEB" w14:textId="77777777" w:rsidR="00F72B83" w:rsidRDefault="00F72B83" w:rsidP="000D5B82">
      <w:pPr>
        <w:spacing w:after="0" w:line="240" w:lineRule="auto"/>
      </w:pPr>
      <w:r>
        <w:separator/>
      </w:r>
    </w:p>
  </w:footnote>
  <w:footnote w:type="continuationSeparator" w:id="0">
    <w:p w14:paraId="7C17D12F" w14:textId="77777777" w:rsidR="00F72B83" w:rsidRDefault="00F72B83" w:rsidP="000D5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39DE"/>
    <w:multiLevelType w:val="hybridMultilevel"/>
    <w:tmpl w:val="627E1024"/>
    <w:lvl w:ilvl="0" w:tplc="AC12AB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9C097F"/>
    <w:multiLevelType w:val="multilevel"/>
    <w:tmpl w:val="212C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415471"/>
    <w:multiLevelType w:val="multilevel"/>
    <w:tmpl w:val="D490307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E665DB"/>
    <w:multiLevelType w:val="multilevel"/>
    <w:tmpl w:val="9D0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765FF6"/>
    <w:multiLevelType w:val="multilevel"/>
    <w:tmpl w:val="729891C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 w15:restartNumberingAfterBreak="0">
    <w:nsid w:val="54114CF6"/>
    <w:multiLevelType w:val="multilevel"/>
    <w:tmpl w:val="86B4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574D55"/>
    <w:multiLevelType w:val="hybridMultilevel"/>
    <w:tmpl w:val="19483FF0"/>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6D4A768D"/>
    <w:multiLevelType w:val="hybridMultilevel"/>
    <w:tmpl w:val="85E88A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311117">
    <w:abstractNumId w:val="6"/>
  </w:num>
  <w:num w:numId="2" w16cid:durableId="488060481">
    <w:abstractNumId w:val="0"/>
  </w:num>
  <w:num w:numId="3" w16cid:durableId="213398438">
    <w:abstractNumId w:val="2"/>
  </w:num>
  <w:num w:numId="4" w16cid:durableId="2074234350">
    <w:abstractNumId w:val="7"/>
  </w:num>
  <w:num w:numId="5" w16cid:durableId="1303074560">
    <w:abstractNumId w:val="4"/>
  </w:num>
  <w:num w:numId="6" w16cid:durableId="596063030">
    <w:abstractNumId w:val="1"/>
  </w:num>
  <w:num w:numId="7" w16cid:durableId="1880431447">
    <w:abstractNumId w:val="6"/>
  </w:num>
  <w:num w:numId="8" w16cid:durableId="1234970158">
    <w:abstractNumId w:val="0"/>
  </w:num>
  <w:num w:numId="9" w16cid:durableId="702560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499402">
    <w:abstractNumId w:val="2"/>
  </w:num>
  <w:num w:numId="11" w16cid:durableId="1581908246">
    <w:abstractNumId w:val="3"/>
  </w:num>
  <w:num w:numId="12" w16cid:durableId="1722093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669"/>
    <w:rsid w:val="00001A61"/>
    <w:rsid w:val="00004356"/>
    <w:rsid w:val="000120D0"/>
    <w:rsid w:val="00013CB0"/>
    <w:rsid w:val="00020972"/>
    <w:rsid w:val="00020E7A"/>
    <w:rsid w:val="0002334E"/>
    <w:rsid w:val="00024507"/>
    <w:rsid w:val="0003174F"/>
    <w:rsid w:val="00031959"/>
    <w:rsid w:val="00031DEC"/>
    <w:rsid w:val="00032438"/>
    <w:rsid w:val="000344D6"/>
    <w:rsid w:val="0003737D"/>
    <w:rsid w:val="00046C9F"/>
    <w:rsid w:val="00050521"/>
    <w:rsid w:val="00053080"/>
    <w:rsid w:val="00056CD8"/>
    <w:rsid w:val="00060A24"/>
    <w:rsid w:val="0006264E"/>
    <w:rsid w:val="00062945"/>
    <w:rsid w:val="000638F1"/>
    <w:rsid w:val="00064E0E"/>
    <w:rsid w:val="00073057"/>
    <w:rsid w:val="00081566"/>
    <w:rsid w:val="00082B6C"/>
    <w:rsid w:val="0008437B"/>
    <w:rsid w:val="0008505F"/>
    <w:rsid w:val="000909FF"/>
    <w:rsid w:val="00092364"/>
    <w:rsid w:val="00095FA5"/>
    <w:rsid w:val="00097B50"/>
    <w:rsid w:val="000B0795"/>
    <w:rsid w:val="000B7E0F"/>
    <w:rsid w:val="000D095D"/>
    <w:rsid w:val="000D5B82"/>
    <w:rsid w:val="000E405F"/>
    <w:rsid w:val="000E4BDF"/>
    <w:rsid w:val="000E5CE8"/>
    <w:rsid w:val="000E6C9D"/>
    <w:rsid w:val="000E6E94"/>
    <w:rsid w:val="000F175D"/>
    <w:rsid w:val="00114BFD"/>
    <w:rsid w:val="001150E8"/>
    <w:rsid w:val="00116AA3"/>
    <w:rsid w:val="00121863"/>
    <w:rsid w:val="00122EDA"/>
    <w:rsid w:val="00125FE2"/>
    <w:rsid w:val="001351D5"/>
    <w:rsid w:val="00137DC1"/>
    <w:rsid w:val="001448B2"/>
    <w:rsid w:val="00146326"/>
    <w:rsid w:val="00146CD6"/>
    <w:rsid w:val="0015319C"/>
    <w:rsid w:val="00157439"/>
    <w:rsid w:val="00164D3E"/>
    <w:rsid w:val="00172AF1"/>
    <w:rsid w:val="0017587C"/>
    <w:rsid w:val="00180427"/>
    <w:rsid w:val="00181C5D"/>
    <w:rsid w:val="00191DD4"/>
    <w:rsid w:val="00192C9F"/>
    <w:rsid w:val="001B5A62"/>
    <w:rsid w:val="001B601D"/>
    <w:rsid w:val="001B6132"/>
    <w:rsid w:val="001C128B"/>
    <w:rsid w:val="001E1A41"/>
    <w:rsid w:val="001E28CE"/>
    <w:rsid w:val="001E490A"/>
    <w:rsid w:val="001F3AC6"/>
    <w:rsid w:val="001F4929"/>
    <w:rsid w:val="001F7415"/>
    <w:rsid w:val="001F775A"/>
    <w:rsid w:val="0020733C"/>
    <w:rsid w:val="00212254"/>
    <w:rsid w:val="00217450"/>
    <w:rsid w:val="00223434"/>
    <w:rsid w:val="00230FBE"/>
    <w:rsid w:val="002312F9"/>
    <w:rsid w:val="002341F4"/>
    <w:rsid w:val="00234D4C"/>
    <w:rsid w:val="002412BE"/>
    <w:rsid w:val="00243BAC"/>
    <w:rsid w:val="0024668C"/>
    <w:rsid w:val="0025043B"/>
    <w:rsid w:val="002510B1"/>
    <w:rsid w:val="0025341E"/>
    <w:rsid w:val="00254251"/>
    <w:rsid w:val="00257DEA"/>
    <w:rsid w:val="00260FB6"/>
    <w:rsid w:val="00260FE9"/>
    <w:rsid w:val="00273707"/>
    <w:rsid w:val="00274125"/>
    <w:rsid w:val="002926C1"/>
    <w:rsid w:val="0029590C"/>
    <w:rsid w:val="002A1CFB"/>
    <w:rsid w:val="002A317B"/>
    <w:rsid w:val="002A6925"/>
    <w:rsid w:val="002B009D"/>
    <w:rsid w:val="002B0372"/>
    <w:rsid w:val="002B0CCB"/>
    <w:rsid w:val="002B23CC"/>
    <w:rsid w:val="002B37CA"/>
    <w:rsid w:val="002B5FDF"/>
    <w:rsid w:val="002C1A68"/>
    <w:rsid w:val="002C5934"/>
    <w:rsid w:val="002C6E9C"/>
    <w:rsid w:val="002C730B"/>
    <w:rsid w:val="002D167B"/>
    <w:rsid w:val="002D4BC6"/>
    <w:rsid w:val="002D5E4D"/>
    <w:rsid w:val="002E1DCA"/>
    <w:rsid w:val="002E6344"/>
    <w:rsid w:val="002E6A32"/>
    <w:rsid w:val="002F1E02"/>
    <w:rsid w:val="0030591C"/>
    <w:rsid w:val="00307967"/>
    <w:rsid w:val="0031673B"/>
    <w:rsid w:val="0032697C"/>
    <w:rsid w:val="003307E6"/>
    <w:rsid w:val="0033348D"/>
    <w:rsid w:val="003405F6"/>
    <w:rsid w:val="00340C5C"/>
    <w:rsid w:val="003448B7"/>
    <w:rsid w:val="0035115D"/>
    <w:rsid w:val="003656E3"/>
    <w:rsid w:val="00365CD2"/>
    <w:rsid w:val="00367BA7"/>
    <w:rsid w:val="00374290"/>
    <w:rsid w:val="00375697"/>
    <w:rsid w:val="00384B4D"/>
    <w:rsid w:val="00386B83"/>
    <w:rsid w:val="003955AE"/>
    <w:rsid w:val="00395F94"/>
    <w:rsid w:val="00396649"/>
    <w:rsid w:val="003A1ADE"/>
    <w:rsid w:val="003B191F"/>
    <w:rsid w:val="003B3C6C"/>
    <w:rsid w:val="003E0110"/>
    <w:rsid w:val="003E7953"/>
    <w:rsid w:val="003F19A9"/>
    <w:rsid w:val="003F1FFB"/>
    <w:rsid w:val="003F70A9"/>
    <w:rsid w:val="003F7FD6"/>
    <w:rsid w:val="004034E5"/>
    <w:rsid w:val="00403F01"/>
    <w:rsid w:val="004105FB"/>
    <w:rsid w:val="00425FEB"/>
    <w:rsid w:val="00426DB4"/>
    <w:rsid w:val="00434972"/>
    <w:rsid w:val="004431C1"/>
    <w:rsid w:val="00444315"/>
    <w:rsid w:val="0045258B"/>
    <w:rsid w:val="004550B9"/>
    <w:rsid w:val="00466FC4"/>
    <w:rsid w:val="004724D9"/>
    <w:rsid w:val="00475046"/>
    <w:rsid w:val="0047606A"/>
    <w:rsid w:val="00495AC7"/>
    <w:rsid w:val="004A3760"/>
    <w:rsid w:val="004C2262"/>
    <w:rsid w:val="004D20C5"/>
    <w:rsid w:val="004D54F8"/>
    <w:rsid w:val="004E3FE5"/>
    <w:rsid w:val="004E5A9B"/>
    <w:rsid w:val="004E6AC2"/>
    <w:rsid w:val="004E6C5E"/>
    <w:rsid w:val="004E718F"/>
    <w:rsid w:val="004F65AD"/>
    <w:rsid w:val="00506553"/>
    <w:rsid w:val="005101AD"/>
    <w:rsid w:val="005123D6"/>
    <w:rsid w:val="005147BF"/>
    <w:rsid w:val="00517380"/>
    <w:rsid w:val="00521C10"/>
    <w:rsid w:val="00523629"/>
    <w:rsid w:val="0053406D"/>
    <w:rsid w:val="005347F4"/>
    <w:rsid w:val="00540764"/>
    <w:rsid w:val="00544956"/>
    <w:rsid w:val="00545B73"/>
    <w:rsid w:val="005474F7"/>
    <w:rsid w:val="00551453"/>
    <w:rsid w:val="00553CC9"/>
    <w:rsid w:val="0055761F"/>
    <w:rsid w:val="00575855"/>
    <w:rsid w:val="005850EB"/>
    <w:rsid w:val="005A4998"/>
    <w:rsid w:val="005B0A09"/>
    <w:rsid w:val="005B3893"/>
    <w:rsid w:val="005C0B2C"/>
    <w:rsid w:val="005C1443"/>
    <w:rsid w:val="005C55C0"/>
    <w:rsid w:val="005C7940"/>
    <w:rsid w:val="005F1EC8"/>
    <w:rsid w:val="005F68F9"/>
    <w:rsid w:val="00601263"/>
    <w:rsid w:val="00601CAD"/>
    <w:rsid w:val="00602A18"/>
    <w:rsid w:val="006045CF"/>
    <w:rsid w:val="0061081F"/>
    <w:rsid w:val="00613799"/>
    <w:rsid w:val="00615ED9"/>
    <w:rsid w:val="00630DE7"/>
    <w:rsid w:val="00631DE1"/>
    <w:rsid w:val="00636824"/>
    <w:rsid w:val="00654A42"/>
    <w:rsid w:val="006707A3"/>
    <w:rsid w:val="00671948"/>
    <w:rsid w:val="0067555F"/>
    <w:rsid w:val="00675F84"/>
    <w:rsid w:val="006812C8"/>
    <w:rsid w:val="00682EA0"/>
    <w:rsid w:val="006934AC"/>
    <w:rsid w:val="006A3DC8"/>
    <w:rsid w:val="006B4FAC"/>
    <w:rsid w:val="006B59CF"/>
    <w:rsid w:val="006B65F9"/>
    <w:rsid w:val="006C4CEA"/>
    <w:rsid w:val="006D0D3C"/>
    <w:rsid w:val="006E798E"/>
    <w:rsid w:val="007268C1"/>
    <w:rsid w:val="00731CEC"/>
    <w:rsid w:val="0073657A"/>
    <w:rsid w:val="00740425"/>
    <w:rsid w:val="007518C7"/>
    <w:rsid w:val="00752D61"/>
    <w:rsid w:val="007568DF"/>
    <w:rsid w:val="00756D1D"/>
    <w:rsid w:val="00762BD5"/>
    <w:rsid w:val="00765225"/>
    <w:rsid w:val="00774C25"/>
    <w:rsid w:val="007756DA"/>
    <w:rsid w:val="007870ED"/>
    <w:rsid w:val="00787864"/>
    <w:rsid w:val="007963E1"/>
    <w:rsid w:val="00796C08"/>
    <w:rsid w:val="007A293B"/>
    <w:rsid w:val="007A6D19"/>
    <w:rsid w:val="007B2D71"/>
    <w:rsid w:val="007B50D2"/>
    <w:rsid w:val="007B7647"/>
    <w:rsid w:val="007C2895"/>
    <w:rsid w:val="007C325C"/>
    <w:rsid w:val="007C6120"/>
    <w:rsid w:val="007D0125"/>
    <w:rsid w:val="007D5253"/>
    <w:rsid w:val="007D5A83"/>
    <w:rsid w:val="007D7FE2"/>
    <w:rsid w:val="007F0805"/>
    <w:rsid w:val="007F1D6F"/>
    <w:rsid w:val="007F2E3E"/>
    <w:rsid w:val="007F6983"/>
    <w:rsid w:val="007F69F1"/>
    <w:rsid w:val="00801ADA"/>
    <w:rsid w:val="00802B38"/>
    <w:rsid w:val="00810E2C"/>
    <w:rsid w:val="008116A6"/>
    <w:rsid w:val="00812678"/>
    <w:rsid w:val="00814D70"/>
    <w:rsid w:val="00816A3A"/>
    <w:rsid w:val="00825E07"/>
    <w:rsid w:val="008317F6"/>
    <w:rsid w:val="0083212B"/>
    <w:rsid w:val="00836012"/>
    <w:rsid w:val="008408E6"/>
    <w:rsid w:val="00840F2F"/>
    <w:rsid w:val="008472DD"/>
    <w:rsid w:val="00853FA8"/>
    <w:rsid w:val="00862640"/>
    <w:rsid w:val="008646D5"/>
    <w:rsid w:val="008721A7"/>
    <w:rsid w:val="00880488"/>
    <w:rsid w:val="00890C77"/>
    <w:rsid w:val="00896377"/>
    <w:rsid w:val="008A3BCB"/>
    <w:rsid w:val="008A4410"/>
    <w:rsid w:val="008B0826"/>
    <w:rsid w:val="008B221D"/>
    <w:rsid w:val="008B3BA5"/>
    <w:rsid w:val="008B6AD4"/>
    <w:rsid w:val="008D3349"/>
    <w:rsid w:val="008D7616"/>
    <w:rsid w:val="008E2FC0"/>
    <w:rsid w:val="008E43ED"/>
    <w:rsid w:val="008F65EA"/>
    <w:rsid w:val="00904783"/>
    <w:rsid w:val="00904FC1"/>
    <w:rsid w:val="0090591F"/>
    <w:rsid w:val="00907A23"/>
    <w:rsid w:val="009113CE"/>
    <w:rsid w:val="00911E43"/>
    <w:rsid w:val="009139B8"/>
    <w:rsid w:val="00921D3A"/>
    <w:rsid w:val="009249F1"/>
    <w:rsid w:val="00926127"/>
    <w:rsid w:val="00932435"/>
    <w:rsid w:val="009342A5"/>
    <w:rsid w:val="00940702"/>
    <w:rsid w:val="00941D05"/>
    <w:rsid w:val="009430CF"/>
    <w:rsid w:val="009438E6"/>
    <w:rsid w:val="00943D56"/>
    <w:rsid w:val="00944398"/>
    <w:rsid w:val="00944A33"/>
    <w:rsid w:val="0095184B"/>
    <w:rsid w:val="00952D45"/>
    <w:rsid w:val="009732F2"/>
    <w:rsid w:val="00985A22"/>
    <w:rsid w:val="009909AB"/>
    <w:rsid w:val="00990A5A"/>
    <w:rsid w:val="009A1BE7"/>
    <w:rsid w:val="009A1F5D"/>
    <w:rsid w:val="009A2395"/>
    <w:rsid w:val="009A5C55"/>
    <w:rsid w:val="009B1959"/>
    <w:rsid w:val="009B5874"/>
    <w:rsid w:val="009C0379"/>
    <w:rsid w:val="009C2221"/>
    <w:rsid w:val="009D1D13"/>
    <w:rsid w:val="009D6405"/>
    <w:rsid w:val="009D6D2D"/>
    <w:rsid w:val="009E0BA3"/>
    <w:rsid w:val="009E52BE"/>
    <w:rsid w:val="009F2477"/>
    <w:rsid w:val="009F4BD6"/>
    <w:rsid w:val="009F6FAD"/>
    <w:rsid w:val="00A0073B"/>
    <w:rsid w:val="00A00EF2"/>
    <w:rsid w:val="00A011D5"/>
    <w:rsid w:val="00A01286"/>
    <w:rsid w:val="00A01371"/>
    <w:rsid w:val="00A051C6"/>
    <w:rsid w:val="00A055C3"/>
    <w:rsid w:val="00A05BA3"/>
    <w:rsid w:val="00A07BFC"/>
    <w:rsid w:val="00A10202"/>
    <w:rsid w:val="00A155F5"/>
    <w:rsid w:val="00A2016A"/>
    <w:rsid w:val="00A2124D"/>
    <w:rsid w:val="00A23790"/>
    <w:rsid w:val="00A25196"/>
    <w:rsid w:val="00A27E26"/>
    <w:rsid w:val="00A347E4"/>
    <w:rsid w:val="00A42578"/>
    <w:rsid w:val="00A45734"/>
    <w:rsid w:val="00A46E42"/>
    <w:rsid w:val="00A55669"/>
    <w:rsid w:val="00A61189"/>
    <w:rsid w:val="00A630AA"/>
    <w:rsid w:val="00A7703B"/>
    <w:rsid w:val="00A819C9"/>
    <w:rsid w:val="00A83A58"/>
    <w:rsid w:val="00A952C7"/>
    <w:rsid w:val="00A97949"/>
    <w:rsid w:val="00AA4DC5"/>
    <w:rsid w:val="00AB0B66"/>
    <w:rsid w:val="00AB2F74"/>
    <w:rsid w:val="00AB70CF"/>
    <w:rsid w:val="00AC5A17"/>
    <w:rsid w:val="00AD1CD0"/>
    <w:rsid w:val="00AD2500"/>
    <w:rsid w:val="00AD6013"/>
    <w:rsid w:val="00AD6E73"/>
    <w:rsid w:val="00AE2703"/>
    <w:rsid w:val="00AE271F"/>
    <w:rsid w:val="00AE3215"/>
    <w:rsid w:val="00B0179E"/>
    <w:rsid w:val="00B01F7F"/>
    <w:rsid w:val="00B023D6"/>
    <w:rsid w:val="00B07756"/>
    <w:rsid w:val="00B13CE1"/>
    <w:rsid w:val="00B1514F"/>
    <w:rsid w:val="00B160E9"/>
    <w:rsid w:val="00B16D3A"/>
    <w:rsid w:val="00B20D07"/>
    <w:rsid w:val="00B23E6C"/>
    <w:rsid w:val="00B2737B"/>
    <w:rsid w:val="00B279C2"/>
    <w:rsid w:val="00B414BD"/>
    <w:rsid w:val="00B44C15"/>
    <w:rsid w:val="00B51B68"/>
    <w:rsid w:val="00B544CA"/>
    <w:rsid w:val="00B5450F"/>
    <w:rsid w:val="00B60264"/>
    <w:rsid w:val="00B625A6"/>
    <w:rsid w:val="00B708A6"/>
    <w:rsid w:val="00B70956"/>
    <w:rsid w:val="00B70CDD"/>
    <w:rsid w:val="00B74326"/>
    <w:rsid w:val="00B75CB3"/>
    <w:rsid w:val="00B8751E"/>
    <w:rsid w:val="00B87E0D"/>
    <w:rsid w:val="00B94EF4"/>
    <w:rsid w:val="00B96A60"/>
    <w:rsid w:val="00BA4697"/>
    <w:rsid w:val="00BA58B6"/>
    <w:rsid w:val="00BB01C8"/>
    <w:rsid w:val="00BB3713"/>
    <w:rsid w:val="00BC1C73"/>
    <w:rsid w:val="00BC44D3"/>
    <w:rsid w:val="00BC550F"/>
    <w:rsid w:val="00BC6B9F"/>
    <w:rsid w:val="00BC7FB3"/>
    <w:rsid w:val="00BD0D4D"/>
    <w:rsid w:val="00BD13E9"/>
    <w:rsid w:val="00BD65DD"/>
    <w:rsid w:val="00BE1EEA"/>
    <w:rsid w:val="00BE44F2"/>
    <w:rsid w:val="00BE791C"/>
    <w:rsid w:val="00BF2A42"/>
    <w:rsid w:val="00BF3920"/>
    <w:rsid w:val="00C00DB2"/>
    <w:rsid w:val="00C14804"/>
    <w:rsid w:val="00C14A86"/>
    <w:rsid w:val="00C21AFF"/>
    <w:rsid w:val="00C236B2"/>
    <w:rsid w:val="00C2539B"/>
    <w:rsid w:val="00C2646F"/>
    <w:rsid w:val="00C268D9"/>
    <w:rsid w:val="00C31654"/>
    <w:rsid w:val="00C326B4"/>
    <w:rsid w:val="00C432E9"/>
    <w:rsid w:val="00C47C75"/>
    <w:rsid w:val="00C50815"/>
    <w:rsid w:val="00C55FC2"/>
    <w:rsid w:val="00C60883"/>
    <w:rsid w:val="00C61CC8"/>
    <w:rsid w:val="00C63D33"/>
    <w:rsid w:val="00C65425"/>
    <w:rsid w:val="00C711E0"/>
    <w:rsid w:val="00C71CE4"/>
    <w:rsid w:val="00C77556"/>
    <w:rsid w:val="00C80E0C"/>
    <w:rsid w:val="00C846C6"/>
    <w:rsid w:val="00C902EE"/>
    <w:rsid w:val="00CA2BAE"/>
    <w:rsid w:val="00CA7B48"/>
    <w:rsid w:val="00CA7FF6"/>
    <w:rsid w:val="00CB6DCE"/>
    <w:rsid w:val="00CC11CD"/>
    <w:rsid w:val="00CC518D"/>
    <w:rsid w:val="00CC690B"/>
    <w:rsid w:val="00CD3412"/>
    <w:rsid w:val="00CD4784"/>
    <w:rsid w:val="00CD514B"/>
    <w:rsid w:val="00CE28D7"/>
    <w:rsid w:val="00CE45F0"/>
    <w:rsid w:val="00CE4882"/>
    <w:rsid w:val="00D03B33"/>
    <w:rsid w:val="00D05BBB"/>
    <w:rsid w:val="00D066F8"/>
    <w:rsid w:val="00D07537"/>
    <w:rsid w:val="00D205EB"/>
    <w:rsid w:val="00D20AD9"/>
    <w:rsid w:val="00D210A6"/>
    <w:rsid w:val="00D23575"/>
    <w:rsid w:val="00D403CE"/>
    <w:rsid w:val="00D51013"/>
    <w:rsid w:val="00D524CB"/>
    <w:rsid w:val="00D57AB8"/>
    <w:rsid w:val="00D62C61"/>
    <w:rsid w:val="00D633CA"/>
    <w:rsid w:val="00D645C4"/>
    <w:rsid w:val="00D648E8"/>
    <w:rsid w:val="00D659CD"/>
    <w:rsid w:val="00D7434D"/>
    <w:rsid w:val="00D8567C"/>
    <w:rsid w:val="00DA010F"/>
    <w:rsid w:val="00DA0BC1"/>
    <w:rsid w:val="00DA1A9C"/>
    <w:rsid w:val="00DA2334"/>
    <w:rsid w:val="00DA282B"/>
    <w:rsid w:val="00DB3710"/>
    <w:rsid w:val="00DB5A67"/>
    <w:rsid w:val="00DB6E73"/>
    <w:rsid w:val="00DC057E"/>
    <w:rsid w:val="00DC1221"/>
    <w:rsid w:val="00DD3F50"/>
    <w:rsid w:val="00DD5279"/>
    <w:rsid w:val="00DD74FE"/>
    <w:rsid w:val="00DE325E"/>
    <w:rsid w:val="00DE6627"/>
    <w:rsid w:val="00DF5A78"/>
    <w:rsid w:val="00E00550"/>
    <w:rsid w:val="00E0189C"/>
    <w:rsid w:val="00E04A8C"/>
    <w:rsid w:val="00E119FB"/>
    <w:rsid w:val="00E1729D"/>
    <w:rsid w:val="00E20F44"/>
    <w:rsid w:val="00E21890"/>
    <w:rsid w:val="00E27FC2"/>
    <w:rsid w:val="00E3018F"/>
    <w:rsid w:val="00E302A9"/>
    <w:rsid w:val="00E32C1D"/>
    <w:rsid w:val="00E34AF8"/>
    <w:rsid w:val="00E40EE8"/>
    <w:rsid w:val="00E4699F"/>
    <w:rsid w:val="00E565E7"/>
    <w:rsid w:val="00E56D7C"/>
    <w:rsid w:val="00E60581"/>
    <w:rsid w:val="00E61C70"/>
    <w:rsid w:val="00E6489C"/>
    <w:rsid w:val="00E702D3"/>
    <w:rsid w:val="00E756FF"/>
    <w:rsid w:val="00E81C3E"/>
    <w:rsid w:val="00E83654"/>
    <w:rsid w:val="00E846D0"/>
    <w:rsid w:val="00E86D89"/>
    <w:rsid w:val="00EA1517"/>
    <w:rsid w:val="00EA3BB9"/>
    <w:rsid w:val="00EA595D"/>
    <w:rsid w:val="00ED07A6"/>
    <w:rsid w:val="00ED0B9F"/>
    <w:rsid w:val="00ED7B35"/>
    <w:rsid w:val="00EE0F16"/>
    <w:rsid w:val="00EE345B"/>
    <w:rsid w:val="00EE37A0"/>
    <w:rsid w:val="00EE6229"/>
    <w:rsid w:val="00EF30EF"/>
    <w:rsid w:val="00EF4C49"/>
    <w:rsid w:val="00F00A54"/>
    <w:rsid w:val="00F01FCB"/>
    <w:rsid w:val="00F0288B"/>
    <w:rsid w:val="00F04976"/>
    <w:rsid w:val="00F04FA8"/>
    <w:rsid w:val="00F1338F"/>
    <w:rsid w:val="00F14B46"/>
    <w:rsid w:val="00F16D93"/>
    <w:rsid w:val="00F23209"/>
    <w:rsid w:val="00F32D9D"/>
    <w:rsid w:val="00F42B6A"/>
    <w:rsid w:val="00F44C77"/>
    <w:rsid w:val="00F472D5"/>
    <w:rsid w:val="00F51CA2"/>
    <w:rsid w:val="00F619D7"/>
    <w:rsid w:val="00F64650"/>
    <w:rsid w:val="00F703FD"/>
    <w:rsid w:val="00F71B20"/>
    <w:rsid w:val="00F72B83"/>
    <w:rsid w:val="00F752BE"/>
    <w:rsid w:val="00F77E83"/>
    <w:rsid w:val="00F8116E"/>
    <w:rsid w:val="00F813DB"/>
    <w:rsid w:val="00F86E3D"/>
    <w:rsid w:val="00F90B24"/>
    <w:rsid w:val="00FB1B31"/>
    <w:rsid w:val="00FC5E06"/>
    <w:rsid w:val="00FC7F39"/>
    <w:rsid w:val="00FD10D1"/>
    <w:rsid w:val="00FD58A8"/>
    <w:rsid w:val="00FD6C4C"/>
    <w:rsid w:val="00FE2678"/>
    <w:rsid w:val="00FF5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BF01C7"/>
  <w15:chartTrackingRefBased/>
  <w15:docId w15:val="{A2A25125-1801-4952-9FC7-588B42A4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4BD"/>
  </w:style>
  <w:style w:type="paragraph" w:styleId="Heading2">
    <w:name w:val="heading 2"/>
    <w:basedOn w:val="Normal"/>
    <w:link w:val="Heading2Char"/>
    <w:uiPriority w:val="9"/>
    <w:qFormat/>
    <w:rsid w:val="00BE44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4BD"/>
    <w:pPr>
      <w:spacing w:after="1" w:line="248" w:lineRule="auto"/>
      <w:ind w:left="720" w:hanging="10"/>
      <w:contextualSpacing/>
      <w:jc w:val="both"/>
    </w:pPr>
    <w:rPr>
      <w:rFonts w:ascii="Times New Roman" w:eastAsia="Times New Roman" w:hAnsi="Times New Roman" w:cs="Times New Roman"/>
      <w:color w:val="000000"/>
      <w:sz w:val="23"/>
    </w:rPr>
  </w:style>
  <w:style w:type="character" w:styleId="Hyperlink">
    <w:name w:val="Hyperlink"/>
    <w:basedOn w:val="DefaultParagraphFont"/>
    <w:uiPriority w:val="99"/>
    <w:unhideWhenUsed/>
    <w:rsid w:val="00B414BD"/>
    <w:rPr>
      <w:color w:val="0563C1" w:themeColor="hyperlink"/>
      <w:u w:val="single"/>
    </w:rPr>
  </w:style>
  <w:style w:type="table" w:customStyle="1" w:styleId="ListTable3-Accent11">
    <w:name w:val="List Table 3 - Accent 11"/>
    <w:basedOn w:val="TableNormal"/>
    <w:uiPriority w:val="48"/>
    <w:rsid w:val="00B414B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Grid">
    <w:name w:val="Table Grid"/>
    <w:basedOn w:val="TableNormal"/>
    <w:uiPriority w:val="39"/>
    <w:rsid w:val="004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046C9F"/>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rsid w:val="00046C9F"/>
    <w:rPr>
      <w:rFonts w:eastAsiaTheme="minorEastAsia"/>
    </w:rPr>
  </w:style>
  <w:style w:type="paragraph" w:styleId="BalloonText">
    <w:name w:val="Balloon Text"/>
    <w:basedOn w:val="Normal"/>
    <w:link w:val="BalloonTextChar"/>
    <w:uiPriority w:val="99"/>
    <w:semiHidden/>
    <w:unhideWhenUsed/>
    <w:rsid w:val="009324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435"/>
    <w:rPr>
      <w:rFonts w:ascii="Segoe UI" w:hAnsi="Segoe UI" w:cs="Segoe UI"/>
      <w:sz w:val="18"/>
      <w:szCs w:val="18"/>
    </w:rPr>
  </w:style>
  <w:style w:type="paragraph" w:styleId="Header">
    <w:name w:val="header"/>
    <w:basedOn w:val="Normal"/>
    <w:link w:val="HeaderChar"/>
    <w:uiPriority w:val="99"/>
    <w:unhideWhenUsed/>
    <w:rsid w:val="000D5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B82"/>
  </w:style>
  <w:style w:type="paragraph" w:styleId="NormalWeb">
    <w:name w:val="Normal (Web)"/>
    <w:basedOn w:val="Normal"/>
    <w:uiPriority w:val="99"/>
    <w:semiHidden/>
    <w:unhideWhenUsed/>
    <w:rsid w:val="005147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E44F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446150">
      <w:bodyDiv w:val="1"/>
      <w:marLeft w:val="0"/>
      <w:marRight w:val="0"/>
      <w:marTop w:val="0"/>
      <w:marBottom w:val="0"/>
      <w:divBdr>
        <w:top w:val="none" w:sz="0" w:space="0" w:color="auto"/>
        <w:left w:val="none" w:sz="0" w:space="0" w:color="auto"/>
        <w:bottom w:val="none" w:sz="0" w:space="0" w:color="auto"/>
        <w:right w:val="none" w:sz="0" w:space="0" w:color="auto"/>
      </w:divBdr>
    </w:div>
    <w:div w:id="981420552">
      <w:bodyDiv w:val="1"/>
      <w:marLeft w:val="0"/>
      <w:marRight w:val="0"/>
      <w:marTop w:val="0"/>
      <w:marBottom w:val="0"/>
      <w:divBdr>
        <w:top w:val="none" w:sz="0" w:space="0" w:color="auto"/>
        <w:left w:val="none" w:sz="0" w:space="0" w:color="auto"/>
        <w:bottom w:val="none" w:sz="0" w:space="0" w:color="auto"/>
        <w:right w:val="none" w:sz="0" w:space="0" w:color="auto"/>
      </w:divBdr>
      <w:divsChild>
        <w:div w:id="1518999755">
          <w:marLeft w:val="0"/>
          <w:marRight w:val="0"/>
          <w:marTop w:val="0"/>
          <w:marBottom w:val="0"/>
          <w:divBdr>
            <w:top w:val="single" w:sz="2" w:space="0" w:color="auto"/>
            <w:left w:val="single" w:sz="2" w:space="0" w:color="auto"/>
            <w:bottom w:val="single" w:sz="2" w:space="0" w:color="auto"/>
            <w:right w:val="single" w:sz="2" w:space="0" w:color="auto"/>
          </w:divBdr>
        </w:div>
        <w:div w:id="1374887850">
          <w:marLeft w:val="0"/>
          <w:marRight w:val="0"/>
          <w:marTop w:val="0"/>
          <w:marBottom w:val="0"/>
          <w:divBdr>
            <w:top w:val="none" w:sz="0" w:space="0" w:color="auto"/>
            <w:left w:val="none" w:sz="0" w:space="0" w:color="auto"/>
            <w:bottom w:val="none" w:sz="0" w:space="0" w:color="auto"/>
            <w:right w:val="none" w:sz="0" w:space="0" w:color="auto"/>
          </w:divBdr>
        </w:div>
      </w:divsChild>
    </w:div>
    <w:div w:id="1723408220">
      <w:bodyDiv w:val="1"/>
      <w:marLeft w:val="0"/>
      <w:marRight w:val="0"/>
      <w:marTop w:val="0"/>
      <w:marBottom w:val="0"/>
      <w:divBdr>
        <w:top w:val="none" w:sz="0" w:space="0" w:color="auto"/>
        <w:left w:val="none" w:sz="0" w:space="0" w:color="auto"/>
        <w:bottom w:val="none" w:sz="0" w:space="0" w:color="auto"/>
        <w:right w:val="none" w:sz="0" w:space="0" w:color="auto"/>
      </w:divBdr>
    </w:div>
    <w:div w:id="182146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ney.cnn.com/retirement/guide/IRA_traditional.moneymag/index2.htm?iid=EL" TargetMode="External"/><Relationship Id="rId18" Type="http://schemas.openxmlformats.org/officeDocument/2006/relationships/hyperlink" Target="http://www.IRS.GO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s.gov"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rs.gov"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rs.gov/publications/p590b/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66DC9-E140-4C04-9C8D-33490A4B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2191</Words>
  <Characters>12491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Nick Durksen</cp:lastModifiedBy>
  <cp:revision>18</cp:revision>
  <cp:lastPrinted>2025-02-18T22:15:00Z</cp:lastPrinted>
  <dcterms:created xsi:type="dcterms:W3CDTF">2025-03-03T17:05:00Z</dcterms:created>
  <dcterms:modified xsi:type="dcterms:W3CDTF">2025-03-10T15:50:00Z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2f080992ac85f61392c5f42b81981dbd6758f93def700e20410e55a565bf3d06</vt:lpwstr>
  </property>
</Properties>
</file>